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DF" w:rsidRPr="00D06FDF" w:rsidRDefault="00D06FDF" w:rsidP="00D06FDF">
      <w:pPr>
        <w:rPr>
          <w:b/>
        </w:rPr>
      </w:pPr>
      <w:r w:rsidRPr="00D06FDF">
        <w:rPr>
          <w:b/>
        </w:rPr>
        <w:t xml:space="preserve">Minutes of the Meeting of the Treasury Borrowing Advisory Committee of the Securities Industry and Financial Markets Association </w:t>
      </w:r>
      <w:r w:rsidR="00F055CA">
        <w:rPr>
          <w:b/>
        </w:rPr>
        <w:t>February 2</w:t>
      </w:r>
      <w:r w:rsidR="00F055CA">
        <w:rPr>
          <w:b/>
          <w:vertAlign w:val="superscript"/>
        </w:rPr>
        <w:t>nd</w:t>
      </w:r>
      <w:r w:rsidR="00565119">
        <w:rPr>
          <w:b/>
        </w:rPr>
        <w:t xml:space="preserve">  </w:t>
      </w:r>
      <w:r w:rsidRPr="00D06FDF">
        <w:rPr>
          <w:b/>
        </w:rPr>
        <w:t xml:space="preserve"> </w:t>
      </w:r>
    </w:p>
    <w:p w:rsidR="00D06FDF" w:rsidRDefault="00D06FDF" w:rsidP="00D06FDF"/>
    <w:p w:rsidR="00E378C3" w:rsidRDefault="00565119" w:rsidP="00D06FDF">
      <w:r>
        <w:t>2</w:t>
      </w:r>
      <w:r w:rsidR="00D06FDF">
        <w:t>/</w:t>
      </w:r>
      <w:r w:rsidR="00F055CA">
        <w:t>3</w:t>
      </w:r>
      <w:r>
        <w:t>/2016</w:t>
      </w:r>
    </w:p>
    <w:p w:rsidR="00D06FDF" w:rsidRDefault="00D06FDF"/>
    <w:p w:rsidR="005D5F05" w:rsidRDefault="005D5F05">
      <w:pPr>
        <w:rPr>
          <w:rFonts w:cs="Times New Roman"/>
          <w:szCs w:val="24"/>
        </w:rPr>
      </w:pPr>
      <w:r w:rsidRPr="00BD2B97">
        <w:rPr>
          <w:rFonts w:cs="Times New Roman"/>
          <w:szCs w:val="24"/>
        </w:rPr>
        <w:t xml:space="preserve">The Committee convened in a closed session at the Hay Adams Hotel </w:t>
      </w:r>
      <w:r w:rsidRPr="00F055CA">
        <w:rPr>
          <w:rFonts w:cs="Times New Roman"/>
          <w:szCs w:val="24"/>
        </w:rPr>
        <w:t>at 11:</w:t>
      </w:r>
      <w:r w:rsidR="00F055CA" w:rsidRPr="00F055CA">
        <w:rPr>
          <w:rFonts w:cs="Times New Roman"/>
          <w:szCs w:val="24"/>
        </w:rPr>
        <w:t>30</w:t>
      </w:r>
      <w:r w:rsidRPr="00F055CA">
        <w:rPr>
          <w:rFonts w:cs="Times New Roman"/>
          <w:szCs w:val="24"/>
        </w:rPr>
        <w:t xml:space="preserve"> a.m.  Al</w:t>
      </w:r>
      <w:r w:rsidR="00050F07" w:rsidRPr="00F055CA">
        <w:rPr>
          <w:rFonts w:cs="Times New Roman"/>
          <w:szCs w:val="24"/>
        </w:rPr>
        <w:t>l</w:t>
      </w:r>
      <w:r w:rsidR="00050F07" w:rsidRPr="00BD2B97">
        <w:rPr>
          <w:rFonts w:cs="Times New Roman"/>
          <w:szCs w:val="24"/>
        </w:rPr>
        <w:t xml:space="preserve"> members were present</w:t>
      </w:r>
      <w:r w:rsidR="00F055CA">
        <w:rPr>
          <w:rFonts w:cs="Times New Roman"/>
          <w:szCs w:val="24"/>
        </w:rPr>
        <w:t xml:space="preserve"> </w:t>
      </w:r>
      <w:r w:rsidR="004520E4">
        <w:rPr>
          <w:rFonts w:cs="Times New Roman"/>
          <w:szCs w:val="24"/>
        </w:rPr>
        <w:t xml:space="preserve">with the </w:t>
      </w:r>
      <w:r w:rsidR="00F055CA">
        <w:rPr>
          <w:rFonts w:cs="Times New Roman"/>
          <w:szCs w:val="24"/>
        </w:rPr>
        <w:t>except</w:t>
      </w:r>
      <w:r w:rsidR="004520E4">
        <w:rPr>
          <w:rFonts w:cs="Times New Roman"/>
          <w:szCs w:val="24"/>
        </w:rPr>
        <w:t>ion of</w:t>
      </w:r>
      <w:r w:rsidR="00F055CA">
        <w:rPr>
          <w:rFonts w:cs="Times New Roman"/>
          <w:szCs w:val="24"/>
        </w:rPr>
        <w:t xml:space="preserve"> Matthew Zames</w:t>
      </w:r>
      <w:r w:rsidRPr="00BD2B97">
        <w:rPr>
          <w:rFonts w:cs="Times New Roman"/>
          <w:szCs w:val="24"/>
        </w:rPr>
        <w:t>.  Counselor to the Secretary Antonio Weiss, Acting Assistant Secretary for Financial Markets Seth Carpenter, Deputy Assistant Secretary for Federal Finance James G. Clark, and Director of the Office of Debt Management Fred Pietrangeli welcomed the Committee.  Other members of Treasury staff present were</w:t>
      </w:r>
      <w:r w:rsidR="00050F07" w:rsidRPr="00BD2B97">
        <w:rPr>
          <w:rFonts w:cs="Times New Roman"/>
          <w:szCs w:val="24"/>
        </w:rPr>
        <w:t xml:space="preserve"> </w:t>
      </w:r>
      <w:r w:rsidR="00F055CA" w:rsidRPr="00F055CA">
        <w:rPr>
          <w:rFonts w:cs="Times New Roman"/>
          <w:szCs w:val="24"/>
        </w:rPr>
        <w:t xml:space="preserve">Deputy Director John Dolan, </w:t>
      </w:r>
      <w:r w:rsidR="00F055CA">
        <w:rPr>
          <w:rFonts w:cs="Times New Roman"/>
          <w:szCs w:val="24"/>
        </w:rPr>
        <w:t>Deputy Director Allen Zhang,</w:t>
      </w:r>
      <w:r w:rsidR="00F055CA" w:rsidRPr="00F055CA">
        <w:rPr>
          <w:rFonts w:cs="Times New Roman"/>
          <w:szCs w:val="24"/>
        </w:rPr>
        <w:t xml:space="preserve"> </w:t>
      </w:r>
      <w:r w:rsidR="004678C9">
        <w:rPr>
          <w:rFonts w:cs="Times New Roman"/>
          <w:szCs w:val="24"/>
        </w:rPr>
        <w:t xml:space="preserve">Jonah Crane, </w:t>
      </w:r>
      <w:r w:rsidR="00F055CA">
        <w:rPr>
          <w:rFonts w:cs="Times New Roman"/>
          <w:szCs w:val="24"/>
        </w:rPr>
        <w:t xml:space="preserve">Jared Roscoe, </w:t>
      </w:r>
      <w:r w:rsidR="00F055CA" w:rsidRPr="00F055CA">
        <w:rPr>
          <w:rFonts w:cs="Times New Roman"/>
          <w:szCs w:val="24"/>
        </w:rPr>
        <w:t xml:space="preserve">Michael Puglia, Gabe Mann, Tom Katzenbach, </w:t>
      </w:r>
      <w:r w:rsidR="00F055CA">
        <w:rPr>
          <w:rFonts w:cs="Times New Roman"/>
          <w:szCs w:val="24"/>
        </w:rPr>
        <w:t xml:space="preserve">Dave Chung, </w:t>
      </w:r>
      <w:r w:rsidR="00264831">
        <w:rPr>
          <w:rFonts w:cs="Times New Roman"/>
          <w:szCs w:val="24"/>
        </w:rPr>
        <w:t xml:space="preserve">Tillman Elser, </w:t>
      </w:r>
      <w:r w:rsidR="00F055CA" w:rsidRPr="00F055CA">
        <w:rPr>
          <w:rFonts w:cs="Times New Roman"/>
          <w:szCs w:val="24"/>
        </w:rPr>
        <w:t xml:space="preserve">and </w:t>
      </w:r>
      <w:r w:rsidR="00F055CA">
        <w:rPr>
          <w:rFonts w:cs="Times New Roman"/>
          <w:szCs w:val="24"/>
        </w:rPr>
        <w:t>Kanna Nakamura</w:t>
      </w:r>
      <w:r w:rsidR="00F055CA" w:rsidRPr="00F055CA">
        <w:rPr>
          <w:rFonts w:cs="Times New Roman"/>
          <w:szCs w:val="24"/>
        </w:rPr>
        <w:t>.</w:t>
      </w:r>
      <w:r w:rsidR="00F055CA">
        <w:rPr>
          <w:rFonts w:cs="Times New Roman"/>
          <w:szCs w:val="24"/>
        </w:rPr>
        <w:t xml:space="preserve"> </w:t>
      </w:r>
      <w:r w:rsidR="00050F07" w:rsidRPr="00BD2B97">
        <w:rPr>
          <w:rFonts w:cs="Times New Roman"/>
          <w:szCs w:val="24"/>
        </w:rPr>
        <w:t xml:space="preserve"> Federal Reserve Bank of New York staff members </w:t>
      </w:r>
      <w:r w:rsidR="00F055CA" w:rsidRPr="00F055CA">
        <w:rPr>
          <w:rFonts w:cs="Times New Roman"/>
          <w:szCs w:val="24"/>
        </w:rPr>
        <w:t>Lorie Logan</w:t>
      </w:r>
      <w:r w:rsidR="00F055CA">
        <w:rPr>
          <w:rFonts w:cs="Times New Roman"/>
          <w:szCs w:val="24"/>
        </w:rPr>
        <w:t xml:space="preserve">, </w:t>
      </w:r>
      <w:r w:rsidR="00F055CA" w:rsidRPr="00F055CA">
        <w:rPr>
          <w:rFonts w:cs="Times New Roman"/>
          <w:szCs w:val="24"/>
        </w:rPr>
        <w:t>Nathaniel Wuerffel</w:t>
      </w:r>
      <w:r w:rsidR="00DD7505">
        <w:rPr>
          <w:rFonts w:cs="Times New Roman"/>
          <w:szCs w:val="24"/>
        </w:rPr>
        <w:t>,</w:t>
      </w:r>
      <w:r w:rsidR="00F055CA">
        <w:rPr>
          <w:rFonts w:cs="Times New Roman"/>
          <w:szCs w:val="24"/>
        </w:rPr>
        <w:t xml:space="preserve"> and Jonathan Hill</w:t>
      </w:r>
      <w:r w:rsidR="00F055CA" w:rsidRPr="00F055CA">
        <w:rPr>
          <w:rFonts w:cs="Times New Roman"/>
          <w:szCs w:val="24"/>
        </w:rPr>
        <w:t xml:space="preserve"> were also present.</w:t>
      </w:r>
      <w:r w:rsidR="00DD7505">
        <w:rPr>
          <w:rFonts w:cs="Times New Roman"/>
          <w:szCs w:val="24"/>
        </w:rPr>
        <w:t xml:space="preserve">  The meeting began with a review of the TBAC charter and </w:t>
      </w:r>
      <w:r w:rsidR="0084295F">
        <w:rPr>
          <w:rFonts w:cs="Times New Roman"/>
          <w:szCs w:val="24"/>
        </w:rPr>
        <w:t>C</w:t>
      </w:r>
      <w:r w:rsidR="00DD7505">
        <w:rPr>
          <w:rFonts w:cs="Times New Roman"/>
          <w:szCs w:val="24"/>
        </w:rPr>
        <w:t>ommittee guidelines by Treasury counsel.</w:t>
      </w:r>
    </w:p>
    <w:p w:rsidR="00F055CA" w:rsidRPr="00BD2B97" w:rsidRDefault="00F055CA">
      <w:pPr>
        <w:rPr>
          <w:rFonts w:cs="Times New Roman"/>
          <w:szCs w:val="24"/>
        </w:rPr>
      </w:pPr>
    </w:p>
    <w:p w:rsidR="00BD2B97" w:rsidRPr="00BD2B97" w:rsidRDefault="005D5F05" w:rsidP="00FA3B68">
      <w:pPr>
        <w:rPr>
          <w:rFonts w:cs="Times New Roman"/>
        </w:rPr>
      </w:pPr>
      <w:r w:rsidRPr="00BD2B97">
        <w:rPr>
          <w:rFonts w:cs="Times New Roman"/>
          <w:szCs w:val="24"/>
        </w:rPr>
        <w:t xml:space="preserve">Deputy Assistant Secretary Clark </w:t>
      </w:r>
      <w:r w:rsidR="001D7A9F" w:rsidRPr="00BD2B97">
        <w:rPr>
          <w:rFonts w:cs="Times New Roman"/>
          <w:szCs w:val="24"/>
        </w:rPr>
        <w:t>not</w:t>
      </w:r>
      <w:r w:rsidR="001D7A9F">
        <w:rPr>
          <w:rFonts w:cs="Times New Roman"/>
          <w:szCs w:val="24"/>
        </w:rPr>
        <w:t>ed</w:t>
      </w:r>
      <w:r w:rsidR="001D7A9F" w:rsidRPr="00BD2B97">
        <w:rPr>
          <w:rFonts w:cs="Times New Roman"/>
          <w:szCs w:val="24"/>
        </w:rPr>
        <w:t xml:space="preserve"> </w:t>
      </w:r>
      <w:r w:rsidR="00ED4D42" w:rsidRPr="00BD2B97">
        <w:rPr>
          <w:rFonts w:cs="Times New Roman"/>
          <w:szCs w:val="24"/>
        </w:rPr>
        <w:t>that</w:t>
      </w:r>
      <w:r w:rsidR="00BD2B97" w:rsidRPr="00BD2B97">
        <w:rPr>
          <w:rFonts w:cs="Times New Roman"/>
        </w:rPr>
        <w:t xml:space="preserve"> demand for Treasury bills is high and is expected to continue to grow through</w:t>
      </w:r>
      <w:r w:rsidR="00DD7505">
        <w:rPr>
          <w:rFonts w:cs="Times New Roman"/>
        </w:rPr>
        <w:t>out</w:t>
      </w:r>
      <w:r w:rsidR="00403E70">
        <w:rPr>
          <w:rFonts w:cs="Times New Roman"/>
        </w:rPr>
        <w:t xml:space="preserve"> </w:t>
      </w:r>
      <w:r w:rsidR="00F0112F">
        <w:rPr>
          <w:rFonts w:cs="Times New Roman"/>
        </w:rPr>
        <w:t>FY</w:t>
      </w:r>
      <w:r w:rsidR="00BD2B97" w:rsidRPr="00BD2B97">
        <w:rPr>
          <w:rFonts w:cs="Times New Roman"/>
        </w:rPr>
        <w:t>2016.</w:t>
      </w:r>
      <w:r w:rsidR="00733F7A">
        <w:rPr>
          <w:rFonts w:cs="Times New Roman"/>
        </w:rPr>
        <w:t xml:space="preserve">  </w:t>
      </w:r>
      <w:r w:rsidR="00DD7505">
        <w:rPr>
          <w:rFonts w:cs="Times New Roman"/>
        </w:rPr>
        <w:t xml:space="preserve">DAS Clark </w:t>
      </w:r>
      <w:r w:rsidR="001D7A9F">
        <w:rPr>
          <w:rFonts w:cs="Times New Roman"/>
        </w:rPr>
        <w:t>commented</w:t>
      </w:r>
      <w:r w:rsidR="00DD7505">
        <w:rPr>
          <w:rFonts w:cs="Times New Roman"/>
        </w:rPr>
        <w:t xml:space="preserve"> that</w:t>
      </w:r>
      <w:r w:rsidR="0042345A">
        <w:rPr>
          <w:rFonts w:cs="Times New Roman"/>
        </w:rPr>
        <w:t>,</w:t>
      </w:r>
      <w:r w:rsidR="00DD7505">
        <w:rPr>
          <w:rFonts w:cs="Times New Roman"/>
        </w:rPr>
        <w:t xml:space="preserve"> </w:t>
      </w:r>
      <w:r w:rsidR="00403E70">
        <w:rPr>
          <w:rFonts w:cs="Times New Roman"/>
        </w:rPr>
        <w:t>consistent with Treasury</w:t>
      </w:r>
      <w:r w:rsidR="0042345A">
        <w:rPr>
          <w:rFonts w:cs="Times New Roman"/>
        </w:rPr>
        <w:t>’s</w:t>
      </w:r>
      <w:r w:rsidR="00403E70">
        <w:rPr>
          <w:rFonts w:cs="Times New Roman"/>
        </w:rPr>
        <w:t xml:space="preserve"> commitment at the November 2015 </w:t>
      </w:r>
      <w:r w:rsidR="00B97C20">
        <w:rPr>
          <w:rFonts w:cs="Times New Roman"/>
        </w:rPr>
        <w:t>q</w:t>
      </w:r>
      <w:r w:rsidR="00403E70">
        <w:rPr>
          <w:rFonts w:cs="Times New Roman"/>
        </w:rPr>
        <w:t>uarterly refunding to increase</w:t>
      </w:r>
      <w:r w:rsidR="00DD7505">
        <w:rPr>
          <w:rFonts w:cs="Times New Roman"/>
        </w:rPr>
        <w:t xml:space="preserve"> </w:t>
      </w:r>
      <w:r w:rsidR="00733F7A">
        <w:rPr>
          <w:rFonts w:cs="Times New Roman"/>
        </w:rPr>
        <w:t>bill</w:t>
      </w:r>
      <w:r w:rsidR="00DD7505">
        <w:rPr>
          <w:rFonts w:cs="Times New Roman"/>
        </w:rPr>
        <w:t>s</w:t>
      </w:r>
      <w:r w:rsidR="00733F7A">
        <w:rPr>
          <w:rFonts w:cs="Times New Roman"/>
        </w:rPr>
        <w:t xml:space="preserve"> issuance, Treasury may need to </w:t>
      </w:r>
      <w:r w:rsidR="0084295F">
        <w:rPr>
          <w:rFonts w:cs="Times New Roman"/>
        </w:rPr>
        <w:t xml:space="preserve">downwardly </w:t>
      </w:r>
      <w:r w:rsidR="00DD7505">
        <w:rPr>
          <w:rFonts w:cs="Times New Roman"/>
        </w:rPr>
        <w:t xml:space="preserve">adjust </w:t>
      </w:r>
      <w:r w:rsidR="00733F7A">
        <w:rPr>
          <w:rFonts w:cs="Times New Roman"/>
        </w:rPr>
        <w:t>nominal coupons and TIPS</w:t>
      </w:r>
      <w:r w:rsidR="001D7A9F">
        <w:rPr>
          <w:rFonts w:cs="Times New Roman"/>
        </w:rPr>
        <w:t xml:space="preserve"> auction sizes.</w:t>
      </w:r>
      <w:r w:rsidR="00BD2B97" w:rsidRPr="00BD2B97">
        <w:rPr>
          <w:rFonts w:cs="Times New Roman"/>
        </w:rPr>
        <w:t xml:space="preserve"> </w:t>
      </w:r>
    </w:p>
    <w:p w:rsidR="00BD2B97" w:rsidRPr="00BD2B97" w:rsidRDefault="00BD2B97" w:rsidP="00BD2B97">
      <w:pPr>
        <w:pStyle w:val="Default"/>
        <w:spacing w:before="3"/>
        <w:rPr>
          <w:rFonts w:ascii="Times New Roman" w:hAnsi="Times New Roman" w:cs="Times New Roman"/>
        </w:rPr>
      </w:pPr>
    </w:p>
    <w:p w:rsidR="005D5F05" w:rsidRDefault="005D5F05">
      <w:pPr>
        <w:rPr>
          <w:rFonts w:cs="Times New Roman"/>
          <w:szCs w:val="24"/>
        </w:rPr>
      </w:pPr>
      <w:r w:rsidRPr="00BD2B97">
        <w:rPr>
          <w:rFonts w:cs="Times New Roman"/>
          <w:szCs w:val="24"/>
        </w:rPr>
        <w:t xml:space="preserve">Next, the Committee turned to </w:t>
      </w:r>
      <w:r w:rsidR="00042033" w:rsidRPr="00BD2B97">
        <w:rPr>
          <w:rFonts w:cs="Times New Roman"/>
          <w:szCs w:val="24"/>
        </w:rPr>
        <w:t xml:space="preserve">a presentation </w:t>
      </w:r>
      <w:r w:rsidR="00C84289">
        <w:rPr>
          <w:rFonts w:cs="Times New Roman"/>
          <w:szCs w:val="24"/>
        </w:rPr>
        <w:t xml:space="preserve">on Treasury bill </w:t>
      </w:r>
      <w:r w:rsidR="001D7A9F">
        <w:rPr>
          <w:rFonts w:cs="Times New Roman"/>
          <w:szCs w:val="24"/>
        </w:rPr>
        <w:t>market dynamics</w:t>
      </w:r>
      <w:r w:rsidR="00C84289">
        <w:rPr>
          <w:rFonts w:cs="Times New Roman"/>
          <w:szCs w:val="24"/>
        </w:rPr>
        <w:t xml:space="preserve"> and </w:t>
      </w:r>
      <w:r w:rsidR="0084295F">
        <w:rPr>
          <w:rFonts w:cs="Times New Roman"/>
          <w:szCs w:val="24"/>
        </w:rPr>
        <w:t>whether</w:t>
      </w:r>
      <w:r w:rsidR="0042345A">
        <w:rPr>
          <w:rFonts w:cs="Times New Roman"/>
          <w:szCs w:val="24"/>
        </w:rPr>
        <w:t xml:space="preserve"> </w:t>
      </w:r>
      <w:r w:rsidR="001D7A9F">
        <w:rPr>
          <w:rFonts w:cs="Times New Roman"/>
          <w:szCs w:val="24"/>
        </w:rPr>
        <w:t>a</w:t>
      </w:r>
      <w:r w:rsidR="002D74FF">
        <w:rPr>
          <w:rFonts w:cs="Times New Roman"/>
          <w:szCs w:val="24"/>
        </w:rPr>
        <w:t>djustment</w:t>
      </w:r>
      <w:r w:rsidR="001D7A9F">
        <w:rPr>
          <w:rFonts w:cs="Times New Roman"/>
          <w:szCs w:val="24"/>
        </w:rPr>
        <w:t>s</w:t>
      </w:r>
      <w:r w:rsidR="00C84289">
        <w:rPr>
          <w:rFonts w:cs="Times New Roman"/>
          <w:szCs w:val="24"/>
        </w:rPr>
        <w:t xml:space="preserve"> </w:t>
      </w:r>
      <w:r w:rsidR="001D7A9F">
        <w:rPr>
          <w:rFonts w:cs="Times New Roman"/>
          <w:szCs w:val="24"/>
        </w:rPr>
        <w:t xml:space="preserve">to </w:t>
      </w:r>
      <w:r w:rsidR="00C84289">
        <w:rPr>
          <w:rFonts w:cs="Times New Roman"/>
          <w:szCs w:val="24"/>
        </w:rPr>
        <w:t xml:space="preserve">nominal coupon and TIPS issuance </w:t>
      </w:r>
      <w:r w:rsidR="00F0112F">
        <w:rPr>
          <w:rFonts w:cs="Times New Roman"/>
          <w:szCs w:val="24"/>
        </w:rPr>
        <w:t>a</w:t>
      </w:r>
      <w:r w:rsidR="0084295F">
        <w:rPr>
          <w:rFonts w:cs="Times New Roman"/>
          <w:szCs w:val="24"/>
        </w:rPr>
        <w:t>re</w:t>
      </w:r>
      <w:r w:rsidR="00C84289">
        <w:rPr>
          <w:rFonts w:cs="Times New Roman"/>
          <w:szCs w:val="24"/>
        </w:rPr>
        <w:t xml:space="preserve"> necessary to accommodate</w:t>
      </w:r>
      <w:r w:rsidR="0042345A">
        <w:rPr>
          <w:rFonts w:cs="Times New Roman"/>
          <w:szCs w:val="24"/>
        </w:rPr>
        <w:t xml:space="preserve"> such</w:t>
      </w:r>
      <w:r w:rsidR="001D7A9F">
        <w:rPr>
          <w:rFonts w:cs="Times New Roman"/>
          <w:szCs w:val="24"/>
        </w:rPr>
        <w:t xml:space="preserve"> an</w:t>
      </w:r>
      <w:r w:rsidR="00C84289">
        <w:rPr>
          <w:rFonts w:cs="Times New Roman"/>
          <w:szCs w:val="24"/>
        </w:rPr>
        <w:t xml:space="preserve"> </w:t>
      </w:r>
      <w:r w:rsidR="002D74FF">
        <w:rPr>
          <w:rFonts w:cs="Times New Roman"/>
          <w:szCs w:val="24"/>
        </w:rPr>
        <w:t>increase</w:t>
      </w:r>
      <w:r w:rsidR="001D7A9F">
        <w:rPr>
          <w:rFonts w:cs="Times New Roman"/>
          <w:szCs w:val="24"/>
        </w:rPr>
        <w:t xml:space="preserve"> in bills issuance</w:t>
      </w:r>
      <w:r w:rsidR="00C84289">
        <w:rPr>
          <w:rFonts w:cs="Times New Roman"/>
          <w:szCs w:val="24"/>
        </w:rPr>
        <w:t>.</w:t>
      </w:r>
      <w:r w:rsidR="00FE5BCB">
        <w:rPr>
          <w:rFonts w:cs="Times New Roman"/>
          <w:szCs w:val="24"/>
        </w:rPr>
        <w:t xml:space="preserve">  </w:t>
      </w:r>
      <w:r w:rsidR="001D7A9F">
        <w:rPr>
          <w:rFonts w:cs="Times New Roman"/>
          <w:szCs w:val="24"/>
        </w:rPr>
        <w:t>The presenting member began by noting that money market mutual fund reform and the need for high quality assets will likely result in increased demand for Treasury bills.  The presenting member estimated that Treasury could meet this demand by increasing bill</w:t>
      </w:r>
      <w:r w:rsidR="004E7257">
        <w:rPr>
          <w:rFonts w:cs="Times New Roman"/>
          <w:szCs w:val="24"/>
        </w:rPr>
        <w:t>s</w:t>
      </w:r>
      <w:r w:rsidR="001D7A9F">
        <w:rPr>
          <w:rFonts w:cs="Times New Roman"/>
          <w:szCs w:val="24"/>
        </w:rPr>
        <w:t xml:space="preserve"> issuance by $230 billion in FY2016 and </w:t>
      </w:r>
      <w:r w:rsidR="004678C9">
        <w:rPr>
          <w:rFonts w:cs="Times New Roman"/>
          <w:szCs w:val="24"/>
        </w:rPr>
        <w:t xml:space="preserve">by an additional </w:t>
      </w:r>
      <w:r w:rsidR="001D7A9F">
        <w:rPr>
          <w:rFonts w:cs="Times New Roman"/>
          <w:szCs w:val="24"/>
        </w:rPr>
        <w:t xml:space="preserve">$65 billion in FY2017.  The presenting member </w:t>
      </w:r>
      <w:r w:rsidR="008B029F">
        <w:rPr>
          <w:rFonts w:cs="Times New Roman"/>
          <w:szCs w:val="24"/>
        </w:rPr>
        <w:t>noted that this increase in bill</w:t>
      </w:r>
      <w:r w:rsidR="004E7257">
        <w:rPr>
          <w:rFonts w:cs="Times New Roman"/>
          <w:szCs w:val="24"/>
        </w:rPr>
        <w:t>s</w:t>
      </w:r>
      <w:r w:rsidR="008B029F">
        <w:rPr>
          <w:rFonts w:cs="Times New Roman"/>
          <w:szCs w:val="24"/>
        </w:rPr>
        <w:t xml:space="preserve"> issuance might justify the introduction of a new bill maturity</w:t>
      </w:r>
      <w:r w:rsidR="0084295F">
        <w:rPr>
          <w:rFonts w:cs="Times New Roman"/>
          <w:szCs w:val="24"/>
        </w:rPr>
        <w:t>.  However, the presenting member also noted</w:t>
      </w:r>
      <w:r w:rsidR="008B029F">
        <w:rPr>
          <w:rFonts w:cs="Times New Roman"/>
          <w:szCs w:val="24"/>
        </w:rPr>
        <w:t xml:space="preserve"> that </w:t>
      </w:r>
      <w:r w:rsidR="0084295F">
        <w:rPr>
          <w:rFonts w:cs="Times New Roman"/>
          <w:szCs w:val="24"/>
        </w:rPr>
        <w:t xml:space="preserve">an </w:t>
      </w:r>
      <w:r w:rsidR="008B029F">
        <w:rPr>
          <w:rFonts w:cs="Times New Roman"/>
          <w:szCs w:val="24"/>
        </w:rPr>
        <w:t>increase</w:t>
      </w:r>
      <w:r w:rsidR="004678C9">
        <w:rPr>
          <w:rFonts w:cs="Times New Roman"/>
          <w:szCs w:val="24"/>
        </w:rPr>
        <w:t xml:space="preserve"> in</w:t>
      </w:r>
      <w:r w:rsidR="008B029F">
        <w:rPr>
          <w:rFonts w:cs="Times New Roman"/>
          <w:szCs w:val="24"/>
        </w:rPr>
        <w:t xml:space="preserve"> </w:t>
      </w:r>
      <w:r w:rsidR="0024306F">
        <w:rPr>
          <w:rFonts w:cs="Times New Roman"/>
          <w:szCs w:val="24"/>
        </w:rPr>
        <w:t>bills outstanding</w:t>
      </w:r>
      <w:r w:rsidR="008B029F">
        <w:rPr>
          <w:rFonts w:cs="Times New Roman"/>
          <w:szCs w:val="24"/>
        </w:rPr>
        <w:t xml:space="preserve"> </w:t>
      </w:r>
      <w:r w:rsidR="0084295F">
        <w:rPr>
          <w:rFonts w:cs="Times New Roman"/>
          <w:szCs w:val="24"/>
        </w:rPr>
        <w:t xml:space="preserve">of this magnitude </w:t>
      </w:r>
      <w:r w:rsidR="008B029F">
        <w:rPr>
          <w:rFonts w:cs="Times New Roman"/>
          <w:szCs w:val="24"/>
        </w:rPr>
        <w:t>was unlikely to result in significantly higher yields</w:t>
      </w:r>
      <w:r w:rsidR="0084295F">
        <w:rPr>
          <w:rFonts w:cs="Times New Roman"/>
          <w:szCs w:val="24"/>
        </w:rPr>
        <w:t xml:space="preserve"> for the current suite of bill securities,</w:t>
      </w:r>
      <w:r w:rsidR="008B029F">
        <w:rPr>
          <w:rFonts w:cs="Times New Roman"/>
          <w:szCs w:val="24"/>
        </w:rPr>
        <w:t xml:space="preserve"> given the aforementioned demand dynamics.</w:t>
      </w:r>
      <w:r w:rsidR="00FE5BCB">
        <w:rPr>
          <w:rFonts w:cs="Times New Roman"/>
          <w:szCs w:val="24"/>
        </w:rPr>
        <w:t xml:space="preserve"> </w:t>
      </w:r>
    </w:p>
    <w:p w:rsidR="00FE5BCB" w:rsidRDefault="00FE5BCB">
      <w:pPr>
        <w:rPr>
          <w:rFonts w:cs="Times New Roman"/>
          <w:szCs w:val="24"/>
        </w:rPr>
      </w:pPr>
    </w:p>
    <w:p w:rsidR="00DC6083" w:rsidRDefault="00E4123D" w:rsidP="00113109">
      <w:pPr>
        <w:rPr>
          <w:rFonts w:cs="Times New Roman"/>
          <w:szCs w:val="24"/>
        </w:rPr>
      </w:pPr>
      <w:r>
        <w:rPr>
          <w:rFonts w:cs="Times New Roman"/>
          <w:szCs w:val="24"/>
        </w:rPr>
        <w:t xml:space="preserve">The presenting member then turned to Treasury’s projected financing needs and the outlook for issuance.  </w:t>
      </w:r>
      <w:r w:rsidR="008B029F">
        <w:rPr>
          <w:rFonts w:cs="Times New Roman"/>
          <w:szCs w:val="24"/>
        </w:rPr>
        <w:t>T</w:t>
      </w:r>
      <w:r>
        <w:rPr>
          <w:rFonts w:cs="Times New Roman"/>
          <w:szCs w:val="24"/>
        </w:rPr>
        <w:t xml:space="preserve">he presenting member </w:t>
      </w:r>
      <w:r w:rsidR="0024306F">
        <w:rPr>
          <w:rFonts w:cs="Times New Roman"/>
          <w:szCs w:val="24"/>
        </w:rPr>
        <w:t>noted</w:t>
      </w:r>
      <w:r w:rsidR="008B029F">
        <w:rPr>
          <w:rFonts w:cs="Times New Roman"/>
          <w:szCs w:val="24"/>
        </w:rPr>
        <w:t xml:space="preserve"> that budget deficits have been shrinking over </w:t>
      </w:r>
      <w:r w:rsidR="0084295F">
        <w:rPr>
          <w:rFonts w:cs="Times New Roman"/>
          <w:szCs w:val="24"/>
        </w:rPr>
        <w:t>recent</w:t>
      </w:r>
      <w:r w:rsidR="008B029F">
        <w:rPr>
          <w:rFonts w:cs="Times New Roman"/>
          <w:szCs w:val="24"/>
        </w:rPr>
        <w:t xml:space="preserve"> years, but that these deficits are expected to widen going forward</w:t>
      </w:r>
      <w:r w:rsidR="0024306F">
        <w:rPr>
          <w:rFonts w:cs="Times New Roman"/>
          <w:szCs w:val="24"/>
        </w:rPr>
        <w:t>.  Moreover, the presenting member stated that Treasury’s borrowing needs would be heavily influenced by the Federal Reserve’s SOMA reinvestment policy, particularity in FY2017 and beyond.</w:t>
      </w:r>
      <w:r w:rsidR="0024306F" w:rsidDel="0024306F">
        <w:rPr>
          <w:rFonts w:cs="Times New Roman"/>
          <w:szCs w:val="24"/>
        </w:rPr>
        <w:t xml:space="preserve"> </w:t>
      </w:r>
    </w:p>
    <w:p w:rsidR="00713A00" w:rsidRDefault="00713A00" w:rsidP="00113109">
      <w:pPr>
        <w:rPr>
          <w:rFonts w:cs="Times New Roman"/>
          <w:szCs w:val="24"/>
        </w:rPr>
      </w:pPr>
    </w:p>
    <w:p w:rsidR="00713A00" w:rsidRDefault="00713A00" w:rsidP="00113109">
      <w:pPr>
        <w:rPr>
          <w:rFonts w:cs="Times New Roman"/>
          <w:szCs w:val="24"/>
        </w:rPr>
      </w:pPr>
      <w:r>
        <w:rPr>
          <w:rFonts w:cs="Times New Roman"/>
          <w:szCs w:val="24"/>
        </w:rPr>
        <w:t xml:space="preserve">Finally, the presenting member </w:t>
      </w:r>
      <w:r w:rsidR="0024306F">
        <w:rPr>
          <w:rFonts w:cs="Times New Roman"/>
          <w:szCs w:val="24"/>
        </w:rPr>
        <w:t xml:space="preserve">concluded by discussing which nominal and </w:t>
      </w:r>
      <w:r w:rsidR="00403E70">
        <w:rPr>
          <w:rFonts w:cs="Times New Roman"/>
          <w:szCs w:val="24"/>
        </w:rPr>
        <w:t xml:space="preserve">TIPS </w:t>
      </w:r>
      <w:r w:rsidR="0024306F">
        <w:rPr>
          <w:rFonts w:cs="Times New Roman"/>
          <w:szCs w:val="24"/>
        </w:rPr>
        <w:t xml:space="preserve">auction sizes could be adjusted.  </w:t>
      </w:r>
      <w:r>
        <w:rPr>
          <w:rFonts w:cs="Times New Roman"/>
          <w:szCs w:val="24"/>
        </w:rPr>
        <w:t xml:space="preserve">The presenting member </w:t>
      </w:r>
      <w:r w:rsidR="0024306F">
        <w:rPr>
          <w:rFonts w:cs="Times New Roman"/>
          <w:szCs w:val="24"/>
        </w:rPr>
        <w:t xml:space="preserve">suggested </w:t>
      </w:r>
      <w:r>
        <w:rPr>
          <w:rFonts w:cs="Times New Roman"/>
          <w:szCs w:val="24"/>
        </w:rPr>
        <w:t xml:space="preserve">that </w:t>
      </w:r>
      <w:r w:rsidR="0024306F">
        <w:rPr>
          <w:rFonts w:cs="Times New Roman"/>
          <w:szCs w:val="24"/>
        </w:rPr>
        <w:t>longer</w:t>
      </w:r>
      <w:r w:rsidR="00403E70">
        <w:rPr>
          <w:rFonts w:cs="Times New Roman"/>
          <w:szCs w:val="24"/>
        </w:rPr>
        <w:t>-</w:t>
      </w:r>
      <w:r w:rsidR="0024306F">
        <w:rPr>
          <w:rFonts w:cs="Times New Roman"/>
          <w:szCs w:val="24"/>
        </w:rPr>
        <w:t>dated nominal</w:t>
      </w:r>
      <w:r>
        <w:rPr>
          <w:rFonts w:cs="Times New Roman"/>
          <w:szCs w:val="24"/>
        </w:rPr>
        <w:t xml:space="preserve"> </w:t>
      </w:r>
      <w:r w:rsidR="0024306F">
        <w:rPr>
          <w:rFonts w:cs="Times New Roman"/>
          <w:szCs w:val="24"/>
        </w:rPr>
        <w:t>coupons should be adjusted</w:t>
      </w:r>
      <w:r w:rsidR="0084295F">
        <w:rPr>
          <w:rFonts w:cs="Times New Roman"/>
          <w:szCs w:val="24"/>
        </w:rPr>
        <w:t>,</w:t>
      </w:r>
      <w:r w:rsidR="00456E1E">
        <w:rPr>
          <w:rFonts w:cs="Times New Roman"/>
          <w:szCs w:val="24"/>
        </w:rPr>
        <w:t xml:space="preserve"> </w:t>
      </w:r>
      <w:r w:rsidR="0084295F">
        <w:rPr>
          <w:rFonts w:cs="Times New Roman"/>
          <w:szCs w:val="24"/>
        </w:rPr>
        <w:t>noting</w:t>
      </w:r>
      <w:r>
        <w:rPr>
          <w:rFonts w:cs="Times New Roman"/>
          <w:szCs w:val="24"/>
        </w:rPr>
        <w:t xml:space="preserve"> </w:t>
      </w:r>
      <w:r w:rsidR="004678C9">
        <w:rPr>
          <w:rFonts w:cs="Times New Roman"/>
          <w:szCs w:val="24"/>
        </w:rPr>
        <w:t xml:space="preserve">that </w:t>
      </w:r>
      <w:r>
        <w:rPr>
          <w:rFonts w:cs="Times New Roman"/>
          <w:szCs w:val="24"/>
        </w:rPr>
        <w:t xml:space="preserve">the </w:t>
      </w:r>
      <w:r w:rsidR="0084295F">
        <w:rPr>
          <w:rFonts w:cs="Times New Roman"/>
          <w:szCs w:val="24"/>
        </w:rPr>
        <w:t xml:space="preserve">relative </w:t>
      </w:r>
      <w:r>
        <w:rPr>
          <w:rFonts w:cs="Times New Roman"/>
          <w:szCs w:val="24"/>
        </w:rPr>
        <w:t xml:space="preserve">ex-ante cost of issuing debt </w:t>
      </w:r>
      <w:r w:rsidR="0084295F">
        <w:rPr>
          <w:rFonts w:cs="Times New Roman"/>
          <w:szCs w:val="24"/>
        </w:rPr>
        <w:t xml:space="preserve">appears </w:t>
      </w:r>
      <w:r>
        <w:rPr>
          <w:rFonts w:cs="Times New Roman"/>
          <w:szCs w:val="24"/>
        </w:rPr>
        <w:t xml:space="preserve">highest in the long end of the coupon curve.  </w:t>
      </w:r>
      <w:r w:rsidR="00456E1E">
        <w:rPr>
          <w:rFonts w:cs="Times New Roman"/>
          <w:szCs w:val="24"/>
        </w:rPr>
        <w:t xml:space="preserve">Furthermore, the presenting member noted that </w:t>
      </w:r>
      <w:r>
        <w:rPr>
          <w:rFonts w:cs="Times New Roman"/>
          <w:szCs w:val="24"/>
        </w:rPr>
        <w:t xml:space="preserve">TIPS issuance </w:t>
      </w:r>
      <w:r w:rsidR="0084295F">
        <w:rPr>
          <w:rFonts w:cs="Times New Roman"/>
          <w:szCs w:val="24"/>
        </w:rPr>
        <w:t>sh</w:t>
      </w:r>
      <w:r w:rsidR="004678C9">
        <w:rPr>
          <w:rFonts w:cs="Times New Roman"/>
          <w:szCs w:val="24"/>
        </w:rPr>
        <w:t xml:space="preserve">ould </w:t>
      </w:r>
      <w:r w:rsidR="00456E1E">
        <w:rPr>
          <w:rFonts w:cs="Times New Roman"/>
          <w:szCs w:val="24"/>
        </w:rPr>
        <w:t xml:space="preserve">be </w:t>
      </w:r>
      <w:r w:rsidR="0084295F">
        <w:rPr>
          <w:rFonts w:cs="Times New Roman"/>
          <w:szCs w:val="24"/>
        </w:rPr>
        <w:t xml:space="preserve">modestly </w:t>
      </w:r>
      <w:r w:rsidR="00456E1E">
        <w:rPr>
          <w:rFonts w:cs="Times New Roman"/>
          <w:szCs w:val="24"/>
        </w:rPr>
        <w:t xml:space="preserve">adjusted.  However, the presenting member stated that </w:t>
      </w:r>
      <w:r w:rsidR="000C308F">
        <w:rPr>
          <w:rFonts w:cs="Times New Roman"/>
          <w:szCs w:val="24"/>
        </w:rPr>
        <w:t xml:space="preserve">Treasury should emphasize its commitment to the </w:t>
      </w:r>
      <w:r w:rsidR="00456E1E">
        <w:rPr>
          <w:rFonts w:cs="Times New Roman"/>
          <w:szCs w:val="24"/>
        </w:rPr>
        <w:t xml:space="preserve">TIPS </w:t>
      </w:r>
      <w:r w:rsidR="000C308F">
        <w:rPr>
          <w:rFonts w:cs="Times New Roman"/>
          <w:szCs w:val="24"/>
        </w:rPr>
        <w:t xml:space="preserve">program and stress that any reduction in TIPS issuance </w:t>
      </w:r>
      <w:r w:rsidR="0084295F">
        <w:rPr>
          <w:rFonts w:cs="Times New Roman"/>
          <w:szCs w:val="24"/>
        </w:rPr>
        <w:t>occur</w:t>
      </w:r>
      <w:r w:rsidR="004E7257">
        <w:rPr>
          <w:rFonts w:cs="Times New Roman"/>
          <w:szCs w:val="24"/>
        </w:rPr>
        <w:t>s</w:t>
      </w:r>
      <w:r w:rsidR="0084295F">
        <w:rPr>
          <w:rFonts w:cs="Times New Roman"/>
          <w:szCs w:val="24"/>
        </w:rPr>
        <w:t xml:space="preserve"> in the context of an overall </w:t>
      </w:r>
      <w:r w:rsidR="000C308F">
        <w:rPr>
          <w:rFonts w:cs="Times New Roman"/>
          <w:szCs w:val="24"/>
        </w:rPr>
        <w:t>reduc</w:t>
      </w:r>
      <w:r w:rsidR="0084295F">
        <w:rPr>
          <w:rFonts w:cs="Times New Roman"/>
          <w:szCs w:val="24"/>
        </w:rPr>
        <w:t>tion of</w:t>
      </w:r>
      <w:r w:rsidR="000C308F">
        <w:rPr>
          <w:rFonts w:cs="Times New Roman"/>
          <w:szCs w:val="24"/>
        </w:rPr>
        <w:t xml:space="preserve"> </w:t>
      </w:r>
      <w:r w:rsidR="00403E70">
        <w:rPr>
          <w:rFonts w:cs="Times New Roman"/>
          <w:szCs w:val="24"/>
        </w:rPr>
        <w:t>Treasury</w:t>
      </w:r>
      <w:r w:rsidR="0084295F">
        <w:rPr>
          <w:rFonts w:cs="Times New Roman"/>
          <w:szCs w:val="24"/>
        </w:rPr>
        <w:t>’s</w:t>
      </w:r>
      <w:r w:rsidR="00403E70">
        <w:rPr>
          <w:rFonts w:cs="Times New Roman"/>
          <w:szCs w:val="24"/>
        </w:rPr>
        <w:t xml:space="preserve"> </w:t>
      </w:r>
      <w:r w:rsidR="000C308F">
        <w:rPr>
          <w:rFonts w:cs="Times New Roman"/>
          <w:szCs w:val="24"/>
        </w:rPr>
        <w:t xml:space="preserve">coupon </w:t>
      </w:r>
      <w:r w:rsidR="0084295F">
        <w:rPr>
          <w:rFonts w:cs="Times New Roman"/>
          <w:szCs w:val="24"/>
        </w:rPr>
        <w:t>issuance</w:t>
      </w:r>
      <w:r w:rsidR="000C308F">
        <w:rPr>
          <w:rFonts w:cs="Times New Roman"/>
          <w:szCs w:val="24"/>
        </w:rPr>
        <w:t>.</w:t>
      </w:r>
    </w:p>
    <w:p w:rsidR="000C308F" w:rsidRDefault="000C308F" w:rsidP="00113109">
      <w:pPr>
        <w:rPr>
          <w:rFonts w:cs="Times New Roman"/>
          <w:szCs w:val="24"/>
        </w:rPr>
      </w:pPr>
    </w:p>
    <w:p w:rsidR="00264831" w:rsidRDefault="000B009F" w:rsidP="00113109">
      <w:pPr>
        <w:rPr>
          <w:rFonts w:cs="Times New Roman"/>
          <w:szCs w:val="24"/>
        </w:rPr>
      </w:pPr>
      <w:r w:rsidRPr="000B009F">
        <w:rPr>
          <w:rFonts w:cs="Times New Roman"/>
          <w:szCs w:val="24"/>
        </w:rPr>
        <w:lastRenderedPageBreak/>
        <w:t xml:space="preserve">A </w:t>
      </w:r>
      <w:r w:rsidR="00456E1E">
        <w:rPr>
          <w:rFonts w:cs="Times New Roman"/>
          <w:szCs w:val="24"/>
        </w:rPr>
        <w:t xml:space="preserve">robust </w:t>
      </w:r>
      <w:r w:rsidRPr="000B009F">
        <w:rPr>
          <w:rFonts w:cs="Times New Roman"/>
          <w:szCs w:val="24"/>
        </w:rPr>
        <w:t>discussion by the Committee ensued.</w:t>
      </w:r>
      <w:r>
        <w:rPr>
          <w:rFonts w:cs="Times New Roman"/>
          <w:szCs w:val="24"/>
        </w:rPr>
        <w:t xml:space="preserve">  Members </w:t>
      </w:r>
      <w:r w:rsidR="00456E1E">
        <w:rPr>
          <w:rFonts w:cs="Times New Roman"/>
          <w:szCs w:val="24"/>
        </w:rPr>
        <w:t>broadly agreed</w:t>
      </w:r>
      <w:r>
        <w:rPr>
          <w:rFonts w:cs="Times New Roman"/>
          <w:szCs w:val="24"/>
        </w:rPr>
        <w:t xml:space="preserve"> that the case for increasing bill</w:t>
      </w:r>
      <w:r w:rsidR="004E7257">
        <w:rPr>
          <w:rFonts w:cs="Times New Roman"/>
          <w:szCs w:val="24"/>
        </w:rPr>
        <w:t>s</w:t>
      </w:r>
      <w:r>
        <w:rPr>
          <w:rFonts w:cs="Times New Roman"/>
          <w:szCs w:val="24"/>
        </w:rPr>
        <w:t xml:space="preserve"> issuance </w:t>
      </w:r>
      <w:r w:rsidR="004E7257">
        <w:rPr>
          <w:rFonts w:cs="Times New Roman"/>
          <w:szCs w:val="24"/>
        </w:rPr>
        <w:t>i</w:t>
      </w:r>
      <w:r>
        <w:rPr>
          <w:rFonts w:cs="Times New Roman"/>
          <w:szCs w:val="24"/>
        </w:rPr>
        <w:t>s strong</w:t>
      </w:r>
      <w:r w:rsidR="00456E1E" w:rsidRPr="00403E70">
        <w:rPr>
          <w:rFonts w:cs="Times New Roman"/>
          <w:szCs w:val="24"/>
        </w:rPr>
        <w:t xml:space="preserve">, </w:t>
      </w:r>
      <w:r w:rsidR="00456E1E" w:rsidRPr="00403E70">
        <w:rPr>
          <w:szCs w:val="24"/>
        </w:rPr>
        <w:t>but acknowledged that the estimates for bill demand var</w:t>
      </w:r>
      <w:r w:rsidR="004E7257">
        <w:rPr>
          <w:szCs w:val="24"/>
        </w:rPr>
        <w:t>y</w:t>
      </w:r>
      <w:r w:rsidR="00456E1E" w:rsidRPr="00403E70">
        <w:rPr>
          <w:szCs w:val="24"/>
        </w:rPr>
        <w:t xml:space="preserve"> widely</w:t>
      </w:r>
      <w:r w:rsidR="0084295F">
        <w:rPr>
          <w:szCs w:val="24"/>
        </w:rPr>
        <w:t xml:space="preserve">.  As such, several noted that </w:t>
      </w:r>
      <w:r w:rsidR="00456E1E" w:rsidRPr="00403E70">
        <w:rPr>
          <w:szCs w:val="24"/>
        </w:rPr>
        <w:t xml:space="preserve">a gradual approach </w:t>
      </w:r>
      <w:r w:rsidR="0084295F">
        <w:rPr>
          <w:szCs w:val="24"/>
        </w:rPr>
        <w:t xml:space="preserve">to increasing bills and reducing coupon issuance </w:t>
      </w:r>
      <w:r w:rsidR="00456E1E" w:rsidRPr="00403E70">
        <w:rPr>
          <w:szCs w:val="24"/>
        </w:rPr>
        <w:t>was prudent</w:t>
      </w:r>
      <w:r w:rsidRPr="00403E70">
        <w:rPr>
          <w:rFonts w:cs="Times New Roman"/>
          <w:szCs w:val="24"/>
        </w:rPr>
        <w:t>.</w:t>
      </w:r>
      <w:r>
        <w:rPr>
          <w:rFonts w:cs="Times New Roman"/>
          <w:szCs w:val="24"/>
        </w:rPr>
        <w:t xml:space="preserve">  </w:t>
      </w:r>
      <w:r w:rsidR="00585F60" w:rsidRPr="00403E70">
        <w:rPr>
          <w:szCs w:val="24"/>
        </w:rPr>
        <w:t>Assuming that Treasury want</w:t>
      </w:r>
      <w:r w:rsidR="004E7257">
        <w:rPr>
          <w:szCs w:val="24"/>
        </w:rPr>
        <w:t>s</w:t>
      </w:r>
      <w:r w:rsidR="00585F60" w:rsidRPr="00403E70">
        <w:rPr>
          <w:szCs w:val="24"/>
        </w:rPr>
        <w:t xml:space="preserve"> to hold the cash balance at levels consistent with recent cash balance policy changes, most members agreed that modest reductions to both coupons and TIPS were necessary.  </w:t>
      </w:r>
      <w:r>
        <w:rPr>
          <w:rFonts w:cs="Times New Roman"/>
          <w:szCs w:val="24"/>
        </w:rPr>
        <w:t xml:space="preserve">Some members noted that if </w:t>
      </w:r>
      <w:r w:rsidR="00403E70">
        <w:rPr>
          <w:rFonts w:cs="Times New Roman"/>
          <w:szCs w:val="24"/>
        </w:rPr>
        <w:t>adjustments</w:t>
      </w:r>
      <w:r>
        <w:rPr>
          <w:rFonts w:cs="Times New Roman"/>
          <w:szCs w:val="24"/>
        </w:rPr>
        <w:t xml:space="preserve"> </w:t>
      </w:r>
      <w:r w:rsidR="0084295F">
        <w:rPr>
          <w:rFonts w:cs="Times New Roman"/>
          <w:szCs w:val="24"/>
        </w:rPr>
        <w:t xml:space="preserve">were </w:t>
      </w:r>
      <w:r>
        <w:rPr>
          <w:rFonts w:cs="Times New Roman"/>
          <w:szCs w:val="24"/>
        </w:rPr>
        <w:t xml:space="preserve">made to coupon issuance, market participants would likely expect concomitant cuts to TIPS issuance.  </w:t>
      </w:r>
    </w:p>
    <w:p w:rsidR="00264831" w:rsidRDefault="00264831" w:rsidP="00113109">
      <w:pPr>
        <w:rPr>
          <w:rFonts w:cs="Times New Roman"/>
          <w:szCs w:val="24"/>
        </w:rPr>
      </w:pPr>
    </w:p>
    <w:p w:rsidR="000C308F" w:rsidRDefault="00585F60" w:rsidP="00113109">
      <w:pPr>
        <w:rPr>
          <w:rFonts w:cs="Times New Roman"/>
          <w:szCs w:val="24"/>
        </w:rPr>
      </w:pPr>
      <w:r w:rsidRPr="00585F60">
        <w:rPr>
          <w:rFonts w:cs="Times New Roman"/>
          <w:szCs w:val="24"/>
        </w:rPr>
        <w:t xml:space="preserve">Members generally </w:t>
      </w:r>
      <w:r>
        <w:rPr>
          <w:rFonts w:cs="Times New Roman"/>
          <w:szCs w:val="24"/>
        </w:rPr>
        <w:t>agreed</w:t>
      </w:r>
      <w:r w:rsidRPr="00585F60">
        <w:rPr>
          <w:rFonts w:cs="Times New Roman"/>
          <w:szCs w:val="24"/>
        </w:rPr>
        <w:t xml:space="preserve"> that Treasury should consider</w:t>
      </w:r>
      <w:r>
        <w:rPr>
          <w:rFonts w:cs="Times New Roman"/>
          <w:szCs w:val="24"/>
        </w:rPr>
        <w:t xml:space="preserve"> a variety of</w:t>
      </w:r>
      <w:r w:rsidRPr="00585F60">
        <w:rPr>
          <w:rFonts w:cs="Times New Roman"/>
          <w:szCs w:val="24"/>
        </w:rPr>
        <w:t xml:space="preserve"> factors in determining which tenors to reduce</w:t>
      </w:r>
      <w:r>
        <w:rPr>
          <w:rFonts w:cs="Times New Roman"/>
          <w:szCs w:val="24"/>
        </w:rPr>
        <w:t>, such as:</w:t>
      </w:r>
      <w:r w:rsidRPr="00585F60">
        <w:rPr>
          <w:rFonts w:cs="Times New Roman"/>
          <w:szCs w:val="24"/>
        </w:rPr>
        <w:t xml:space="preserve"> </w:t>
      </w:r>
      <w:r>
        <w:rPr>
          <w:rFonts w:cs="Times New Roman"/>
          <w:szCs w:val="24"/>
        </w:rPr>
        <w:t xml:space="preserve">the </w:t>
      </w:r>
      <w:r w:rsidRPr="00585F60">
        <w:rPr>
          <w:rFonts w:cs="Times New Roman"/>
          <w:szCs w:val="24"/>
        </w:rPr>
        <w:t xml:space="preserve">relative cost of issuance at various tenors, avoiding </w:t>
      </w:r>
      <w:r>
        <w:rPr>
          <w:rFonts w:cs="Times New Roman"/>
          <w:szCs w:val="24"/>
        </w:rPr>
        <w:t>the appearance of opportunism, and respecting</w:t>
      </w:r>
      <w:r w:rsidRPr="00585F60">
        <w:rPr>
          <w:rFonts w:cs="Times New Roman"/>
          <w:szCs w:val="24"/>
        </w:rPr>
        <w:t xml:space="preserve"> minimum auction sizes based o</w:t>
      </w:r>
      <w:r>
        <w:rPr>
          <w:rFonts w:cs="Times New Roman"/>
          <w:szCs w:val="24"/>
        </w:rPr>
        <w:t>n feedback from primary dealers.  In addition, some members noted that distributing auction adjustments across more tenors w</w:t>
      </w:r>
      <w:r w:rsidR="0084295F">
        <w:rPr>
          <w:rFonts w:cs="Times New Roman"/>
          <w:szCs w:val="24"/>
        </w:rPr>
        <w:t>ould</w:t>
      </w:r>
      <w:r>
        <w:rPr>
          <w:rFonts w:cs="Times New Roman"/>
          <w:szCs w:val="24"/>
        </w:rPr>
        <w:t xml:space="preserve"> </w:t>
      </w:r>
      <w:r w:rsidR="0019151D">
        <w:rPr>
          <w:rFonts w:cs="Times New Roman"/>
          <w:szCs w:val="24"/>
        </w:rPr>
        <w:t xml:space="preserve">better </w:t>
      </w:r>
      <w:r>
        <w:rPr>
          <w:rFonts w:cs="Times New Roman"/>
          <w:szCs w:val="24"/>
        </w:rPr>
        <w:t xml:space="preserve">preserve </w:t>
      </w:r>
      <w:r w:rsidR="0019151D">
        <w:rPr>
          <w:rFonts w:cs="Times New Roman"/>
          <w:szCs w:val="24"/>
        </w:rPr>
        <w:t>Treasury’s</w:t>
      </w:r>
      <w:r>
        <w:rPr>
          <w:rFonts w:cs="Times New Roman"/>
          <w:szCs w:val="24"/>
        </w:rPr>
        <w:t xml:space="preserve"> ability to meet future </w:t>
      </w:r>
      <w:r w:rsidR="0019151D">
        <w:rPr>
          <w:rFonts w:cs="Times New Roman"/>
          <w:szCs w:val="24"/>
        </w:rPr>
        <w:t xml:space="preserve">increases in </w:t>
      </w:r>
      <w:r>
        <w:rPr>
          <w:rFonts w:cs="Times New Roman"/>
          <w:szCs w:val="24"/>
        </w:rPr>
        <w:t xml:space="preserve">borrowing needs. </w:t>
      </w:r>
      <w:r w:rsidR="00D812D1">
        <w:rPr>
          <w:rFonts w:cs="Times New Roman"/>
          <w:szCs w:val="24"/>
        </w:rPr>
        <w:t xml:space="preserve"> </w:t>
      </w:r>
      <w:r w:rsidR="0019151D">
        <w:rPr>
          <w:rFonts w:cs="Times New Roman"/>
          <w:szCs w:val="24"/>
        </w:rPr>
        <w:t xml:space="preserve">Finally, members </w:t>
      </w:r>
      <w:r w:rsidR="00D812D1">
        <w:rPr>
          <w:rFonts w:cs="Times New Roman"/>
          <w:szCs w:val="24"/>
        </w:rPr>
        <w:t xml:space="preserve">agreed that adjustments to TIPS issuance would not compromise Treasury’s commitment </w:t>
      </w:r>
      <w:r w:rsidR="00D812D1" w:rsidRPr="00585F60">
        <w:rPr>
          <w:rFonts w:cs="Times New Roman"/>
          <w:szCs w:val="24"/>
        </w:rPr>
        <w:t>to</w:t>
      </w:r>
      <w:r w:rsidRPr="00585F60">
        <w:rPr>
          <w:rFonts w:cs="Times New Roman"/>
          <w:szCs w:val="24"/>
        </w:rPr>
        <w:t xml:space="preserve"> the TIPS program</w:t>
      </w:r>
      <w:r w:rsidR="00403E70">
        <w:rPr>
          <w:rFonts w:cs="Times New Roman"/>
          <w:szCs w:val="24"/>
        </w:rPr>
        <w:t xml:space="preserve">.  </w:t>
      </w:r>
      <w:r w:rsidR="00D812D1" w:rsidRPr="00D812D1">
        <w:rPr>
          <w:rFonts w:cs="Times New Roman"/>
          <w:szCs w:val="24"/>
        </w:rPr>
        <w:t xml:space="preserve">One member raised the </w:t>
      </w:r>
      <w:r w:rsidR="0084295F">
        <w:rPr>
          <w:rFonts w:cs="Times New Roman"/>
          <w:szCs w:val="24"/>
        </w:rPr>
        <w:t>question</w:t>
      </w:r>
      <w:r w:rsidR="0084295F" w:rsidRPr="00D812D1">
        <w:rPr>
          <w:rFonts w:cs="Times New Roman"/>
          <w:szCs w:val="24"/>
        </w:rPr>
        <w:t xml:space="preserve"> </w:t>
      </w:r>
      <w:r w:rsidR="00D812D1" w:rsidRPr="00D812D1">
        <w:rPr>
          <w:rFonts w:cs="Times New Roman"/>
          <w:szCs w:val="24"/>
        </w:rPr>
        <w:t xml:space="preserve">of </w:t>
      </w:r>
      <w:r w:rsidR="00D812D1">
        <w:rPr>
          <w:rFonts w:cs="Times New Roman"/>
          <w:szCs w:val="24"/>
        </w:rPr>
        <w:t xml:space="preserve">adjusting </w:t>
      </w:r>
      <w:r w:rsidR="00D812D1" w:rsidRPr="00D812D1">
        <w:rPr>
          <w:rFonts w:cs="Times New Roman"/>
          <w:szCs w:val="24"/>
        </w:rPr>
        <w:t>FRN</w:t>
      </w:r>
      <w:r w:rsidR="00D812D1">
        <w:rPr>
          <w:rFonts w:cs="Times New Roman"/>
          <w:szCs w:val="24"/>
        </w:rPr>
        <w:t xml:space="preserve"> issuance</w:t>
      </w:r>
      <w:r w:rsidR="00D812D1" w:rsidRPr="00D812D1">
        <w:rPr>
          <w:rFonts w:cs="Times New Roman"/>
          <w:szCs w:val="24"/>
        </w:rPr>
        <w:t xml:space="preserve">.  Acting </w:t>
      </w:r>
      <w:r w:rsidR="00D812D1">
        <w:rPr>
          <w:rFonts w:cs="Times New Roman"/>
          <w:szCs w:val="24"/>
        </w:rPr>
        <w:t>Assistant Secretary</w:t>
      </w:r>
      <w:r w:rsidR="00D812D1" w:rsidRPr="00D812D1">
        <w:rPr>
          <w:rFonts w:cs="Times New Roman"/>
          <w:szCs w:val="24"/>
        </w:rPr>
        <w:t xml:space="preserve"> Carpenter noted that FRNs </w:t>
      </w:r>
      <w:r w:rsidR="004E7257">
        <w:rPr>
          <w:rFonts w:cs="Times New Roman"/>
          <w:szCs w:val="24"/>
        </w:rPr>
        <w:t>a</w:t>
      </w:r>
      <w:r w:rsidR="00D812D1" w:rsidRPr="00D812D1">
        <w:rPr>
          <w:rFonts w:cs="Times New Roman"/>
          <w:szCs w:val="24"/>
        </w:rPr>
        <w:t xml:space="preserve">re a </w:t>
      </w:r>
      <w:r w:rsidR="00264831">
        <w:rPr>
          <w:rFonts w:cs="Times New Roman"/>
          <w:szCs w:val="24"/>
        </w:rPr>
        <w:t xml:space="preserve">relatively </w:t>
      </w:r>
      <w:r w:rsidR="00D812D1" w:rsidRPr="00D812D1">
        <w:rPr>
          <w:rFonts w:cs="Times New Roman"/>
          <w:szCs w:val="24"/>
        </w:rPr>
        <w:t>new product</w:t>
      </w:r>
      <w:r w:rsidR="0084295F">
        <w:rPr>
          <w:rFonts w:cs="Times New Roman"/>
          <w:szCs w:val="24"/>
        </w:rPr>
        <w:t xml:space="preserve"> and that </w:t>
      </w:r>
      <w:r w:rsidR="00D812D1" w:rsidRPr="00D812D1">
        <w:rPr>
          <w:rFonts w:cs="Times New Roman"/>
          <w:szCs w:val="24"/>
        </w:rPr>
        <w:t>it would be premature to reduce issuance sizes.</w:t>
      </w:r>
    </w:p>
    <w:p w:rsidR="00513D3F" w:rsidRDefault="00513D3F" w:rsidP="00113109">
      <w:pPr>
        <w:rPr>
          <w:rFonts w:cs="Times New Roman"/>
          <w:szCs w:val="24"/>
        </w:rPr>
      </w:pPr>
    </w:p>
    <w:p w:rsidR="00513D3F" w:rsidRPr="00BD2B97" w:rsidRDefault="00513D3F" w:rsidP="00513D3F">
      <w:pPr>
        <w:rPr>
          <w:rFonts w:cs="Times New Roman"/>
          <w:szCs w:val="24"/>
        </w:rPr>
      </w:pPr>
      <w:r w:rsidRPr="00BD2B97">
        <w:rPr>
          <w:rFonts w:cs="Times New Roman"/>
          <w:szCs w:val="24"/>
        </w:rPr>
        <w:t>The Committee adjourned at 1:</w:t>
      </w:r>
      <w:r>
        <w:rPr>
          <w:rFonts w:cs="Times New Roman"/>
          <w:szCs w:val="24"/>
        </w:rPr>
        <w:t>0</w:t>
      </w:r>
      <w:r w:rsidRPr="00BD2B97">
        <w:rPr>
          <w:rFonts w:cs="Times New Roman"/>
          <w:szCs w:val="24"/>
        </w:rPr>
        <w:t xml:space="preserve">0 p.m. for lunch. </w:t>
      </w:r>
    </w:p>
    <w:p w:rsidR="005D5F05" w:rsidRDefault="005D5F05">
      <w:pPr>
        <w:rPr>
          <w:rFonts w:cs="Times New Roman"/>
          <w:szCs w:val="24"/>
        </w:rPr>
      </w:pPr>
    </w:p>
    <w:p w:rsidR="00513D3F" w:rsidRDefault="00513D3F">
      <w:pPr>
        <w:rPr>
          <w:rFonts w:cs="Times New Roman"/>
          <w:szCs w:val="24"/>
        </w:rPr>
      </w:pPr>
      <w:r w:rsidRPr="00403E70">
        <w:rPr>
          <w:rFonts w:cs="Times New Roman"/>
          <w:szCs w:val="24"/>
        </w:rPr>
        <w:t>The Committee reconvened after lunch at 2:00 p.m.</w:t>
      </w:r>
    </w:p>
    <w:p w:rsidR="00513D3F" w:rsidRPr="00BD2B97" w:rsidRDefault="00513D3F">
      <w:pPr>
        <w:rPr>
          <w:rFonts w:cs="Times New Roman"/>
          <w:szCs w:val="24"/>
        </w:rPr>
      </w:pPr>
    </w:p>
    <w:p w:rsidR="00D812D1" w:rsidRDefault="001C0092" w:rsidP="00C84289">
      <w:pPr>
        <w:rPr>
          <w:rFonts w:cs="Times New Roman"/>
          <w:szCs w:val="24"/>
        </w:rPr>
      </w:pPr>
      <w:r w:rsidRPr="00BD2B97">
        <w:rPr>
          <w:rFonts w:cs="Times New Roman"/>
          <w:szCs w:val="24"/>
        </w:rPr>
        <w:t>The Committee then turned to the second charge</w:t>
      </w:r>
      <w:r w:rsidR="000D5C1B" w:rsidRPr="00BD2B97">
        <w:rPr>
          <w:rFonts w:cs="Times New Roman"/>
          <w:szCs w:val="24"/>
        </w:rPr>
        <w:t xml:space="preserve">, </w:t>
      </w:r>
      <w:r w:rsidR="00360CCE" w:rsidRPr="00BD2B97">
        <w:rPr>
          <w:rFonts w:cs="Times New Roman"/>
          <w:szCs w:val="24"/>
        </w:rPr>
        <w:t xml:space="preserve">a presentation </w:t>
      </w:r>
      <w:r w:rsidR="00C84289">
        <w:rPr>
          <w:rFonts w:cs="Times New Roman"/>
          <w:szCs w:val="24"/>
        </w:rPr>
        <w:t>on</w:t>
      </w:r>
      <w:r w:rsidR="00825F97">
        <w:rPr>
          <w:rFonts w:cs="Times New Roman"/>
          <w:szCs w:val="24"/>
        </w:rPr>
        <w:t xml:space="preserve"> the appropriate level of price transparency and the public availability of trade data in the Treasury market</w:t>
      </w:r>
      <w:r w:rsidR="00C84289">
        <w:rPr>
          <w:rFonts w:cs="Times New Roman"/>
          <w:szCs w:val="24"/>
        </w:rPr>
        <w:t>.</w:t>
      </w:r>
      <w:r w:rsidR="009150BA">
        <w:rPr>
          <w:rFonts w:cs="Times New Roman"/>
          <w:szCs w:val="24"/>
        </w:rPr>
        <w:t xml:space="preserve">  </w:t>
      </w:r>
    </w:p>
    <w:p w:rsidR="00D812D1" w:rsidRDefault="00D812D1" w:rsidP="00C84289">
      <w:pPr>
        <w:rPr>
          <w:rFonts w:cs="Times New Roman"/>
          <w:szCs w:val="24"/>
        </w:rPr>
      </w:pPr>
    </w:p>
    <w:p w:rsidR="00D812D1" w:rsidRDefault="009150BA" w:rsidP="00C84289">
      <w:pPr>
        <w:rPr>
          <w:rFonts w:cs="Times New Roman"/>
          <w:szCs w:val="24"/>
        </w:rPr>
      </w:pPr>
      <w:r>
        <w:rPr>
          <w:rFonts w:cs="Times New Roman"/>
          <w:szCs w:val="24"/>
        </w:rPr>
        <w:t>The presenting member began by describing TRACE data for corporate bonds and trade reporting in US equity markets</w:t>
      </w:r>
      <w:r w:rsidR="0084295F">
        <w:rPr>
          <w:rFonts w:cs="Times New Roman"/>
          <w:szCs w:val="24"/>
        </w:rPr>
        <w:t>.  The member highlighted</w:t>
      </w:r>
      <w:r>
        <w:rPr>
          <w:rFonts w:cs="Times New Roman"/>
          <w:szCs w:val="24"/>
        </w:rPr>
        <w:t xml:space="preserve"> important similarities and differences </w:t>
      </w:r>
      <w:r w:rsidR="0084295F">
        <w:rPr>
          <w:rFonts w:cs="Times New Roman"/>
          <w:szCs w:val="24"/>
        </w:rPr>
        <w:t>between these markets and</w:t>
      </w:r>
      <w:r>
        <w:rPr>
          <w:rFonts w:cs="Times New Roman"/>
          <w:szCs w:val="24"/>
        </w:rPr>
        <w:t xml:space="preserve"> the secondary markets for Treasury securities.  The presenting member noted that past improvements in price and trade transparency in Treasury markets </w:t>
      </w:r>
      <w:r w:rsidR="0084295F">
        <w:rPr>
          <w:rFonts w:cs="Times New Roman"/>
          <w:szCs w:val="24"/>
        </w:rPr>
        <w:t>primarily resulted from</w:t>
      </w:r>
      <w:r>
        <w:rPr>
          <w:rFonts w:cs="Times New Roman"/>
          <w:szCs w:val="24"/>
        </w:rPr>
        <w:t xml:space="preserve"> the introduction of direct access platforms</w:t>
      </w:r>
      <w:r w:rsidR="0084295F">
        <w:rPr>
          <w:rFonts w:cs="Times New Roman"/>
          <w:szCs w:val="24"/>
        </w:rPr>
        <w:t>.</w:t>
      </w:r>
      <w:r w:rsidR="00ED1D1A">
        <w:rPr>
          <w:rFonts w:cs="Times New Roman"/>
          <w:szCs w:val="24"/>
        </w:rPr>
        <w:t xml:space="preserve">  </w:t>
      </w:r>
    </w:p>
    <w:p w:rsidR="00D812D1" w:rsidRDefault="00D812D1" w:rsidP="00C84289">
      <w:pPr>
        <w:rPr>
          <w:rFonts w:cs="Times New Roman"/>
          <w:szCs w:val="24"/>
        </w:rPr>
      </w:pPr>
    </w:p>
    <w:p w:rsidR="00D812D1" w:rsidRDefault="00D812D1" w:rsidP="00C84289">
      <w:pPr>
        <w:rPr>
          <w:rFonts w:cs="Times New Roman"/>
          <w:szCs w:val="24"/>
        </w:rPr>
      </w:pPr>
      <w:r>
        <w:rPr>
          <w:rFonts w:cs="Times New Roman"/>
          <w:szCs w:val="24"/>
        </w:rPr>
        <w:t>T</w:t>
      </w:r>
      <w:r w:rsidR="00ED1D1A">
        <w:rPr>
          <w:rFonts w:cs="Times New Roman"/>
          <w:szCs w:val="24"/>
        </w:rPr>
        <w:t>he presenting member noted that there were significant differences in the availability of trade information in the dealer-to-dealer market relative to the dealer-to-client market for Treasury securities.  Next, the presenting member outlined what a trade reporting system for Treasury securities, similar to TRACE</w:t>
      </w:r>
      <w:r w:rsidR="0048203A">
        <w:rPr>
          <w:rFonts w:cs="Times New Roman"/>
          <w:szCs w:val="24"/>
        </w:rPr>
        <w:t>,</w:t>
      </w:r>
      <w:r w:rsidR="00ED1D1A">
        <w:rPr>
          <w:rFonts w:cs="Times New Roman"/>
          <w:szCs w:val="24"/>
        </w:rPr>
        <w:t xml:space="preserve"> or </w:t>
      </w:r>
      <w:r>
        <w:rPr>
          <w:rFonts w:cs="Times New Roman"/>
          <w:szCs w:val="24"/>
        </w:rPr>
        <w:t xml:space="preserve">a swaps data repository </w:t>
      </w:r>
      <w:r w:rsidR="00ED1D1A">
        <w:rPr>
          <w:rFonts w:cs="Times New Roman"/>
          <w:szCs w:val="24"/>
        </w:rPr>
        <w:t xml:space="preserve">might look like.  It was noted that off-the-run and on-the-run securities would likely require separate treatment.  In addition, the various venues </w:t>
      </w:r>
      <w:r w:rsidR="0084295F">
        <w:rPr>
          <w:rFonts w:cs="Times New Roman"/>
          <w:szCs w:val="24"/>
        </w:rPr>
        <w:t>o</w:t>
      </w:r>
      <w:r w:rsidR="00ED1D1A">
        <w:rPr>
          <w:rFonts w:cs="Times New Roman"/>
          <w:szCs w:val="24"/>
        </w:rPr>
        <w:t xml:space="preserve">n which Treasury securities trade may </w:t>
      </w:r>
      <w:r w:rsidR="007625E9">
        <w:rPr>
          <w:rFonts w:cs="Times New Roman"/>
          <w:szCs w:val="24"/>
        </w:rPr>
        <w:t xml:space="preserve">also </w:t>
      </w:r>
      <w:r w:rsidR="00ED1D1A">
        <w:rPr>
          <w:rFonts w:cs="Times New Roman"/>
          <w:szCs w:val="24"/>
        </w:rPr>
        <w:t>require separate treatment.  The presenting member concluded by noting that greater transparency in Treasury markets would help end-user</w:t>
      </w:r>
      <w:r w:rsidR="007625E9">
        <w:rPr>
          <w:rFonts w:cs="Times New Roman"/>
          <w:szCs w:val="24"/>
        </w:rPr>
        <w:t>s</w:t>
      </w:r>
      <w:r w:rsidR="00ED1D1A">
        <w:rPr>
          <w:rFonts w:cs="Times New Roman"/>
          <w:szCs w:val="24"/>
        </w:rPr>
        <w:t xml:space="preserve"> manage risk and </w:t>
      </w:r>
      <w:r w:rsidR="0084295F">
        <w:rPr>
          <w:rFonts w:cs="Times New Roman"/>
          <w:szCs w:val="24"/>
        </w:rPr>
        <w:t xml:space="preserve">could </w:t>
      </w:r>
      <w:r w:rsidR="00ED1D1A">
        <w:rPr>
          <w:rFonts w:cs="Times New Roman"/>
          <w:szCs w:val="24"/>
        </w:rPr>
        <w:t>limit market volatility as the Treasury market evolves from a principal-based risk transfer market</w:t>
      </w:r>
      <w:r w:rsidR="00397B71">
        <w:rPr>
          <w:rFonts w:cs="Times New Roman"/>
          <w:szCs w:val="24"/>
        </w:rPr>
        <w:t xml:space="preserve"> model</w:t>
      </w:r>
      <w:r w:rsidR="00ED1D1A">
        <w:rPr>
          <w:rFonts w:cs="Times New Roman"/>
          <w:szCs w:val="24"/>
        </w:rPr>
        <w:t xml:space="preserve"> to an agency-based</w:t>
      </w:r>
      <w:r w:rsidR="00397B71">
        <w:rPr>
          <w:rFonts w:cs="Times New Roman"/>
          <w:szCs w:val="24"/>
        </w:rPr>
        <w:t xml:space="preserve"> risk transfer market model in the coming years.</w:t>
      </w:r>
    </w:p>
    <w:p w:rsidR="00D812D1" w:rsidRDefault="00D812D1" w:rsidP="00C84289">
      <w:pPr>
        <w:rPr>
          <w:rFonts w:cs="Times New Roman"/>
          <w:szCs w:val="24"/>
        </w:rPr>
      </w:pPr>
    </w:p>
    <w:p w:rsidR="00095C84" w:rsidRDefault="00D812D1" w:rsidP="00C84289">
      <w:pPr>
        <w:rPr>
          <w:rFonts w:cs="Times New Roman"/>
          <w:szCs w:val="24"/>
        </w:rPr>
      </w:pPr>
      <w:r w:rsidRPr="00D812D1">
        <w:rPr>
          <w:rFonts w:cs="Times New Roman"/>
          <w:szCs w:val="24"/>
        </w:rPr>
        <w:t>Following the presentation, the various committee members had a robust discussion</w:t>
      </w:r>
      <w:r w:rsidR="00513D3F">
        <w:rPr>
          <w:rFonts w:cs="Times New Roman"/>
          <w:szCs w:val="24"/>
        </w:rPr>
        <w:t xml:space="preserve"> on the topic</w:t>
      </w:r>
      <w:r w:rsidRPr="00D812D1">
        <w:rPr>
          <w:rFonts w:cs="Times New Roman"/>
          <w:szCs w:val="24"/>
        </w:rPr>
        <w:t xml:space="preserve">. </w:t>
      </w:r>
      <w:r>
        <w:rPr>
          <w:rFonts w:cs="Times New Roman"/>
          <w:szCs w:val="24"/>
        </w:rPr>
        <w:t xml:space="preserve"> </w:t>
      </w:r>
      <w:r w:rsidRPr="00D812D1">
        <w:rPr>
          <w:rFonts w:cs="Times New Roman"/>
          <w:szCs w:val="24"/>
        </w:rPr>
        <w:t>While there was general</w:t>
      </w:r>
      <w:r>
        <w:rPr>
          <w:rFonts w:cs="Times New Roman"/>
          <w:szCs w:val="24"/>
        </w:rPr>
        <w:t xml:space="preserve"> agreement that it was </w:t>
      </w:r>
      <w:r w:rsidRPr="00D812D1">
        <w:rPr>
          <w:rFonts w:cs="Times New Roman"/>
          <w:szCs w:val="24"/>
        </w:rPr>
        <w:t xml:space="preserve">beneficial for </w:t>
      </w:r>
      <w:r w:rsidR="0084295F">
        <w:rPr>
          <w:rFonts w:cs="Times New Roman"/>
          <w:szCs w:val="24"/>
        </w:rPr>
        <w:t>the official sector</w:t>
      </w:r>
      <w:r w:rsidR="0084295F" w:rsidRPr="00D812D1">
        <w:rPr>
          <w:rFonts w:cs="Times New Roman"/>
          <w:szCs w:val="24"/>
        </w:rPr>
        <w:t xml:space="preserve"> </w:t>
      </w:r>
      <w:r w:rsidRPr="00D812D1">
        <w:rPr>
          <w:rFonts w:cs="Times New Roman"/>
          <w:szCs w:val="24"/>
        </w:rPr>
        <w:t xml:space="preserve">to have more timely market data, calibrating the degree of </w:t>
      </w:r>
      <w:bookmarkStart w:id="0" w:name="_GoBack"/>
      <w:bookmarkEnd w:id="0"/>
      <w:r w:rsidRPr="00D812D1">
        <w:rPr>
          <w:rFonts w:cs="Times New Roman"/>
          <w:szCs w:val="24"/>
        </w:rPr>
        <w:t xml:space="preserve">public transparency of such data </w:t>
      </w:r>
      <w:r w:rsidR="0084295F">
        <w:rPr>
          <w:rFonts w:cs="Times New Roman"/>
          <w:szCs w:val="24"/>
        </w:rPr>
        <w:t xml:space="preserve">was critical to minimizing any </w:t>
      </w:r>
      <w:r w:rsidRPr="00D812D1">
        <w:rPr>
          <w:rFonts w:cs="Times New Roman"/>
          <w:szCs w:val="24"/>
        </w:rPr>
        <w:t xml:space="preserve">potential </w:t>
      </w:r>
      <w:r w:rsidR="0084295F">
        <w:rPr>
          <w:rFonts w:cs="Times New Roman"/>
          <w:szCs w:val="24"/>
        </w:rPr>
        <w:t xml:space="preserve">negative </w:t>
      </w:r>
      <w:r w:rsidRPr="00D812D1">
        <w:rPr>
          <w:rFonts w:cs="Times New Roman"/>
          <w:szCs w:val="24"/>
        </w:rPr>
        <w:t xml:space="preserve">market </w:t>
      </w:r>
      <w:r w:rsidR="0084295F">
        <w:rPr>
          <w:rFonts w:cs="Times New Roman"/>
          <w:szCs w:val="24"/>
        </w:rPr>
        <w:t>effects</w:t>
      </w:r>
      <w:r w:rsidRPr="00D812D1">
        <w:rPr>
          <w:rFonts w:cs="Times New Roman"/>
          <w:szCs w:val="24"/>
        </w:rPr>
        <w:t>.  Some members</w:t>
      </w:r>
      <w:r w:rsidR="0084295F">
        <w:rPr>
          <w:rFonts w:cs="Times New Roman"/>
          <w:szCs w:val="24"/>
        </w:rPr>
        <w:t xml:space="preserve"> noted</w:t>
      </w:r>
      <w:r w:rsidRPr="00D812D1">
        <w:rPr>
          <w:rFonts w:cs="Times New Roman"/>
          <w:szCs w:val="24"/>
        </w:rPr>
        <w:t xml:space="preserve"> that Treasury recently </w:t>
      </w:r>
      <w:r w:rsidRPr="00D812D1">
        <w:rPr>
          <w:rFonts w:cs="Times New Roman"/>
          <w:szCs w:val="24"/>
        </w:rPr>
        <w:lastRenderedPageBreak/>
        <w:t>released a Request for Information (RFI) that ask</w:t>
      </w:r>
      <w:r w:rsidR="0084295F">
        <w:rPr>
          <w:rFonts w:cs="Times New Roman"/>
          <w:szCs w:val="24"/>
        </w:rPr>
        <w:t>ed</w:t>
      </w:r>
      <w:r w:rsidRPr="00D812D1">
        <w:rPr>
          <w:rFonts w:cs="Times New Roman"/>
          <w:szCs w:val="24"/>
        </w:rPr>
        <w:t xml:space="preserve"> similar questions</w:t>
      </w:r>
      <w:r w:rsidR="0084295F">
        <w:rPr>
          <w:rFonts w:cs="Times New Roman"/>
          <w:szCs w:val="24"/>
        </w:rPr>
        <w:t xml:space="preserve"> and </w:t>
      </w:r>
      <w:r w:rsidRPr="00D812D1">
        <w:rPr>
          <w:rFonts w:cs="Times New Roman"/>
          <w:szCs w:val="24"/>
        </w:rPr>
        <w:t>suggested that Treasury study the matter further after it has</w:t>
      </w:r>
      <w:r w:rsidR="00513D3F">
        <w:rPr>
          <w:rFonts w:cs="Times New Roman"/>
          <w:szCs w:val="24"/>
        </w:rPr>
        <w:t xml:space="preserve"> had</w:t>
      </w:r>
      <w:r w:rsidRPr="00D812D1">
        <w:rPr>
          <w:rFonts w:cs="Times New Roman"/>
          <w:szCs w:val="24"/>
        </w:rPr>
        <w:t xml:space="preserve"> time to review responses to the RFI.       </w:t>
      </w:r>
      <w:r w:rsidR="00ED1D1A">
        <w:rPr>
          <w:rFonts w:cs="Times New Roman"/>
          <w:szCs w:val="24"/>
        </w:rPr>
        <w:t xml:space="preserve"> </w:t>
      </w:r>
    </w:p>
    <w:p w:rsidR="00ED1D1A" w:rsidRDefault="00ED1D1A" w:rsidP="00C84289">
      <w:pPr>
        <w:rPr>
          <w:rFonts w:cs="Times New Roman"/>
          <w:szCs w:val="24"/>
        </w:rPr>
      </w:pPr>
    </w:p>
    <w:p w:rsidR="005D5F05" w:rsidRPr="00BD2B97" w:rsidRDefault="005D5F05" w:rsidP="005D5F05">
      <w:pPr>
        <w:rPr>
          <w:rFonts w:cs="Times New Roman"/>
          <w:szCs w:val="24"/>
        </w:rPr>
      </w:pPr>
      <w:r w:rsidRPr="0048203A">
        <w:rPr>
          <w:rFonts w:cs="Times New Roman"/>
          <w:szCs w:val="24"/>
        </w:rPr>
        <w:t xml:space="preserve">The meeting adjourned at </w:t>
      </w:r>
      <w:r w:rsidR="00513D3F" w:rsidRPr="0048203A">
        <w:rPr>
          <w:rFonts w:cs="Times New Roman"/>
          <w:szCs w:val="24"/>
        </w:rPr>
        <w:t>2</w:t>
      </w:r>
      <w:r w:rsidRPr="0048203A">
        <w:rPr>
          <w:rFonts w:cs="Times New Roman"/>
          <w:szCs w:val="24"/>
        </w:rPr>
        <w:t>:</w:t>
      </w:r>
      <w:r w:rsidR="00513D3F" w:rsidRPr="0048203A">
        <w:rPr>
          <w:rFonts w:cs="Times New Roman"/>
          <w:szCs w:val="24"/>
        </w:rPr>
        <w:t xml:space="preserve">55 </w:t>
      </w:r>
      <w:r w:rsidRPr="0048203A">
        <w:rPr>
          <w:rFonts w:cs="Times New Roman"/>
          <w:szCs w:val="24"/>
        </w:rPr>
        <w:t>p.m.</w:t>
      </w:r>
    </w:p>
    <w:p w:rsidR="005D5F05" w:rsidRPr="00BD2B97" w:rsidRDefault="005D5F05" w:rsidP="005D5F05">
      <w:pPr>
        <w:rPr>
          <w:rFonts w:cs="Times New Roman"/>
          <w:szCs w:val="24"/>
        </w:rPr>
      </w:pPr>
      <w:r w:rsidRPr="00BD2B97">
        <w:rPr>
          <w:rFonts w:cs="Times New Roman"/>
          <w:szCs w:val="24"/>
        </w:rPr>
        <w:t xml:space="preserve"> </w:t>
      </w:r>
    </w:p>
    <w:p w:rsidR="005D5F05" w:rsidRPr="00BD2B97" w:rsidRDefault="005D5F05" w:rsidP="005D5F05">
      <w:pPr>
        <w:rPr>
          <w:rFonts w:cs="Times New Roman"/>
          <w:szCs w:val="24"/>
        </w:rPr>
      </w:pPr>
      <w:r w:rsidRPr="00BD2B97">
        <w:rPr>
          <w:rFonts w:cs="Times New Roman"/>
          <w:szCs w:val="24"/>
        </w:rPr>
        <w:t>The Committee reconvened at the Department of the Treasury at 5:00 p.m.  All</w:t>
      </w:r>
      <w:r w:rsidR="00191BED" w:rsidRPr="00BD2B97">
        <w:rPr>
          <w:rFonts w:cs="Times New Roman"/>
          <w:szCs w:val="24"/>
        </w:rPr>
        <w:t xml:space="preserve"> Committee members were present</w:t>
      </w:r>
      <w:r w:rsidR="004520E4">
        <w:rPr>
          <w:rFonts w:cs="Times New Roman"/>
          <w:szCs w:val="24"/>
        </w:rPr>
        <w:t xml:space="preserve"> with the exception of Matthew Zames</w:t>
      </w:r>
      <w:r w:rsidR="00191BED" w:rsidRPr="00BD2B97">
        <w:rPr>
          <w:rFonts w:cs="Times New Roman"/>
          <w:szCs w:val="24"/>
        </w:rPr>
        <w:t>.</w:t>
      </w:r>
      <w:r w:rsidRPr="00BD2B97">
        <w:rPr>
          <w:rFonts w:cs="Times New Roman"/>
          <w:szCs w:val="24"/>
        </w:rPr>
        <w:t xml:space="preserve">  The Chair presented the Committee report to Secretary Lew.</w:t>
      </w:r>
    </w:p>
    <w:p w:rsidR="005D5F05" w:rsidRPr="00BD2B97" w:rsidRDefault="005D5F05" w:rsidP="005D5F05">
      <w:pPr>
        <w:rPr>
          <w:rFonts w:cs="Times New Roman"/>
          <w:szCs w:val="24"/>
        </w:rPr>
      </w:pPr>
      <w:r w:rsidRPr="00BD2B97">
        <w:rPr>
          <w:rFonts w:cs="Times New Roman"/>
          <w:szCs w:val="24"/>
        </w:rPr>
        <w:t xml:space="preserve"> </w:t>
      </w:r>
    </w:p>
    <w:p w:rsidR="005D5F05" w:rsidRPr="00BD2B97" w:rsidRDefault="005D5F05" w:rsidP="005D5F05">
      <w:pPr>
        <w:rPr>
          <w:rFonts w:cs="Times New Roman"/>
          <w:szCs w:val="24"/>
        </w:rPr>
      </w:pPr>
      <w:r w:rsidRPr="00BD2B97">
        <w:rPr>
          <w:rFonts w:cs="Times New Roman"/>
          <w:szCs w:val="24"/>
        </w:rPr>
        <w:t>A brief discussion followed the Chair’s presentation but did not raise significant questions regarding the report’s content.</w:t>
      </w:r>
    </w:p>
    <w:p w:rsidR="005D5F05" w:rsidRPr="00BD2B97" w:rsidRDefault="005D5F05" w:rsidP="005D5F05">
      <w:pPr>
        <w:rPr>
          <w:rFonts w:cs="Times New Roman"/>
          <w:szCs w:val="24"/>
        </w:rPr>
      </w:pPr>
      <w:r w:rsidRPr="00BD2B97">
        <w:rPr>
          <w:rFonts w:cs="Times New Roman"/>
          <w:szCs w:val="24"/>
        </w:rPr>
        <w:t xml:space="preserve"> </w:t>
      </w:r>
    </w:p>
    <w:p w:rsidR="005D5F05" w:rsidRPr="00BD2B97" w:rsidRDefault="005D5F05" w:rsidP="005D5F05">
      <w:pPr>
        <w:rPr>
          <w:rFonts w:cs="Times New Roman"/>
          <w:szCs w:val="24"/>
        </w:rPr>
      </w:pPr>
      <w:r w:rsidRPr="00BD2B97">
        <w:rPr>
          <w:rFonts w:cs="Times New Roman"/>
          <w:szCs w:val="24"/>
        </w:rPr>
        <w:t xml:space="preserve">The Committee then reviewed the financing for the remainder of the </w:t>
      </w:r>
      <w:r w:rsidR="00C84289">
        <w:rPr>
          <w:rFonts w:cs="Times New Roman"/>
          <w:szCs w:val="24"/>
        </w:rPr>
        <w:t>January</w:t>
      </w:r>
      <w:r w:rsidRPr="00BD2B97">
        <w:rPr>
          <w:rFonts w:cs="Times New Roman"/>
          <w:szCs w:val="24"/>
        </w:rPr>
        <w:t xml:space="preserve"> through </w:t>
      </w:r>
      <w:r w:rsidR="00C84289">
        <w:rPr>
          <w:rFonts w:cs="Times New Roman"/>
          <w:szCs w:val="24"/>
        </w:rPr>
        <w:t>March</w:t>
      </w:r>
      <w:r w:rsidRPr="00BD2B97">
        <w:rPr>
          <w:rFonts w:cs="Times New Roman"/>
          <w:szCs w:val="24"/>
        </w:rPr>
        <w:t xml:space="preserve"> quarter and the </w:t>
      </w:r>
      <w:r w:rsidR="00C84289">
        <w:rPr>
          <w:rFonts w:cs="Times New Roman"/>
          <w:szCs w:val="24"/>
        </w:rPr>
        <w:t>April</w:t>
      </w:r>
      <w:r w:rsidRPr="00BD2B97">
        <w:rPr>
          <w:rFonts w:cs="Times New Roman"/>
          <w:szCs w:val="24"/>
        </w:rPr>
        <w:t xml:space="preserve"> through </w:t>
      </w:r>
      <w:r w:rsidR="00C84289">
        <w:rPr>
          <w:rFonts w:cs="Times New Roman"/>
          <w:szCs w:val="24"/>
        </w:rPr>
        <w:t>June</w:t>
      </w:r>
      <w:r w:rsidRPr="00BD2B97">
        <w:rPr>
          <w:rFonts w:cs="Times New Roman"/>
          <w:szCs w:val="24"/>
        </w:rPr>
        <w:t xml:space="preserve"> quarter (see attached).</w:t>
      </w:r>
    </w:p>
    <w:p w:rsidR="005D5F05" w:rsidRPr="00BD2B97" w:rsidRDefault="005D5F05" w:rsidP="005D5F05">
      <w:pPr>
        <w:rPr>
          <w:rFonts w:cs="Times New Roman"/>
          <w:szCs w:val="24"/>
        </w:rPr>
      </w:pPr>
      <w:r w:rsidRPr="00BD2B97">
        <w:rPr>
          <w:rFonts w:cs="Times New Roman"/>
          <w:szCs w:val="24"/>
        </w:rPr>
        <w:t xml:space="preserve"> </w:t>
      </w:r>
    </w:p>
    <w:p w:rsidR="005D5F05" w:rsidRPr="00BD2B97" w:rsidRDefault="005D5F05" w:rsidP="005D5F05">
      <w:pPr>
        <w:rPr>
          <w:rFonts w:cs="Times New Roman"/>
          <w:szCs w:val="24"/>
        </w:rPr>
      </w:pPr>
      <w:r w:rsidRPr="0048203A">
        <w:rPr>
          <w:rFonts w:cs="Times New Roman"/>
          <w:szCs w:val="24"/>
        </w:rPr>
        <w:t xml:space="preserve">The meeting adjourned at </w:t>
      </w:r>
      <w:r w:rsidR="00BD2B97" w:rsidRPr="0048203A">
        <w:rPr>
          <w:rFonts w:cs="Times New Roman"/>
          <w:szCs w:val="24"/>
        </w:rPr>
        <w:t>6</w:t>
      </w:r>
      <w:r w:rsidRPr="0048203A">
        <w:rPr>
          <w:rFonts w:cs="Times New Roman"/>
          <w:szCs w:val="24"/>
        </w:rPr>
        <w:t>:00 p.m.</w:t>
      </w:r>
    </w:p>
    <w:p w:rsidR="00360CCE" w:rsidRPr="00BD2B97" w:rsidRDefault="00360CCE" w:rsidP="005D5F05">
      <w:pPr>
        <w:rPr>
          <w:rFonts w:cs="Times New Roman"/>
          <w:szCs w:val="24"/>
        </w:rPr>
      </w:pPr>
    </w:p>
    <w:p w:rsidR="00360CCE" w:rsidRPr="00BD2B97" w:rsidRDefault="00360CCE" w:rsidP="005D5F05">
      <w:pPr>
        <w:rPr>
          <w:rFonts w:cs="Times New Roman"/>
          <w:szCs w:val="24"/>
        </w:rPr>
      </w:pPr>
    </w:p>
    <w:p w:rsidR="00360CCE" w:rsidRPr="00BD2B97" w:rsidRDefault="00360CCE" w:rsidP="005D5F05">
      <w:pPr>
        <w:rPr>
          <w:rFonts w:cs="Times New Roman"/>
          <w:szCs w:val="24"/>
        </w:rPr>
      </w:pPr>
    </w:p>
    <w:p w:rsidR="00360CCE" w:rsidRPr="00BD2B97" w:rsidRDefault="00360CCE" w:rsidP="005D5F05">
      <w:pPr>
        <w:rPr>
          <w:rFonts w:cs="Times New Roman"/>
          <w:szCs w:val="24"/>
        </w:rPr>
      </w:pPr>
    </w:p>
    <w:p w:rsidR="00360CCE" w:rsidRDefault="00360CCE" w:rsidP="005D5F05"/>
    <w:p w:rsidR="00360CCE" w:rsidRDefault="00360CCE" w:rsidP="005D5F05"/>
    <w:p w:rsidR="00D06FDF" w:rsidRDefault="00D06FDF">
      <w:r>
        <w:br w:type="page"/>
      </w:r>
    </w:p>
    <w:p w:rsidR="00D06FDF" w:rsidRDefault="00D06FDF" w:rsidP="00360CCE"/>
    <w:p w:rsidR="00D06FDF" w:rsidRDefault="00D06FDF" w:rsidP="00360CCE"/>
    <w:p w:rsidR="00D06FDF" w:rsidRDefault="00D06FDF" w:rsidP="00360CCE"/>
    <w:p w:rsidR="00360CCE" w:rsidRDefault="00360CCE" w:rsidP="00360CCE">
      <w:r>
        <w:t>_________________________________</w:t>
      </w:r>
    </w:p>
    <w:p w:rsidR="00360CCE" w:rsidRDefault="00360CCE" w:rsidP="00360CCE">
      <w:r>
        <w:t xml:space="preserve"> </w:t>
      </w:r>
    </w:p>
    <w:p w:rsidR="00360CCE" w:rsidRDefault="00360CCE" w:rsidP="00360CCE">
      <w:r>
        <w:t>James G. Clark</w:t>
      </w:r>
    </w:p>
    <w:p w:rsidR="00360CCE" w:rsidRDefault="00360CCE" w:rsidP="00360CCE">
      <w:r>
        <w:t>Deputy Assistant Secretary for Federal Finance</w:t>
      </w:r>
    </w:p>
    <w:p w:rsidR="00360CCE" w:rsidRDefault="00360CCE" w:rsidP="00360CCE">
      <w:r>
        <w:t>United States Department of the Treasury</w:t>
      </w:r>
    </w:p>
    <w:p w:rsidR="00360CCE" w:rsidRDefault="00444861" w:rsidP="00360CCE">
      <w:r>
        <w:t>February 2, 2016</w:t>
      </w:r>
    </w:p>
    <w:p w:rsidR="00360CCE" w:rsidRDefault="00360CCE" w:rsidP="00360CCE">
      <w:r>
        <w:t xml:space="preserve"> </w:t>
      </w:r>
    </w:p>
    <w:p w:rsidR="00360CCE" w:rsidRDefault="00360CCE" w:rsidP="00360CCE">
      <w:r>
        <w:t xml:space="preserve"> </w:t>
      </w:r>
    </w:p>
    <w:p w:rsidR="00360CCE" w:rsidRDefault="00360CCE" w:rsidP="00360CCE">
      <w:r>
        <w:t xml:space="preserve"> </w:t>
      </w:r>
    </w:p>
    <w:p w:rsidR="00360CCE" w:rsidRDefault="00360CCE" w:rsidP="00360CCE">
      <w:r>
        <w:t>Certified by:</w:t>
      </w:r>
    </w:p>
    <w:p w:rsidR="00360CCE" w:rsidRDefault="00360CCE" w:rsidP="00360CCE">
      <w:r>
        <w:t xml:space="preserve"> </w:t>
      </w:r>
    </w:p>
    <w:p w:rsidR="00360CCE" w:rsidRDefault="00360CCE" w:rsidP="00360CCE">
      <w:r>
        <w:t xml:space="preserve"> </w:t>
      </w:r>
    </w:p>
    <w:p w:rsidR="00360CCE" w:rsidRDefault="00360CCE" w:rsidP="00360CCE">
      <w:r>
        <w:t>_________________________________</w:t>
      </w:r>
    </w:p>
    <w:p w:rsidR="00360CCE" w:rsidRDefault="00360CCE" w:rsidP="00360CCE">
      <w:r>
        <w:t xml:space="preserve"> </w:t>
      </w:r>
    </w:p>
    <w:p w:rsidR="00360CCE" w:rsidRDefault="00360CCE" w:rsidP="00360CCE">
      <w:r>
        <w:t>Dana Emery, Chairman</w:t>
      </w:r>
    </w:p>
    <w:p w:rsidR="00360CCE" w:rsidRDefault="00360CCE" w:rsidP="00360CCE">
      <w:r>
        <w:t>Treasury Borrowing Advisory Committee</w:t>
      </w:r>
    </w:p>
    <w:p w:rsidR="00360CCE" w:rsidRDefault="00360CCE" w:rsidP="00360CCE">
      <w:r>
        <w:t>Of The Securities Industry and Financial Markets Association</w:t>
      </w:r>
    </w:p>
    <w:p w:rsidR="00360CCE" w:rsidRDefault="00444861" w:rsidP="00360CCE">
      <w:r>
        <w:t>February 2, 2016</w:t>
      </w:r>
    </w:p>
    <w:p w:rsidR="00360CCE" w:rsidRDefault="00360CCE" w:rsidP="00360CCE">
      <w:r>
        <w:t xml:space="preserve"> </w:t>
      </w:r>
    </w:p>
    <w:p w:rsidR="00360CCE" w:rsidRDefault="00360CCE" w:rsidP="00360CCE">
      <w:r>
        <w:t xml:space="preserve"> </w:t>
      </w:r>
    </w:p>
    <w:p w:rsidR="00360CCE" w:rsidRDefault="00360CCE" w:rsidP="00360CCE">
      <w:r>
        <w:t>_________________________________</w:t>
      </w:r>
    </w:p>
    <w:p w:rsidR="00360CCE" w:rsidRDefault="00360CCE" w:rsidP="00360CCE">
      <w:r>
        <w:t xml:space="preserve"> </w:t>
      </w:r>
    </w:p>
    <w:p w:rsidR="00360CCE" w:rsidRDefault="00360CCE" w:rsidP="00360CCE">
      <w:r>
        <w:t>Curtis Arledge, Vice Chairman</w:t>
      </w:r>
    </w:p>
    <w:p w:rsidR="00360CCE" w:rsidRDefault="00360CCE" w:rsidP="00360CCE">
      <w:r>
        <w:t>Treasury Borrowing Advisory Committee</w:t>
      </w:r>
    </w:p>
    <w:p w:rsidR="00360CCE" w:rsidRDefault="00360CCE" w:rsidP="00360CCE">
      <w:r>
        <w:t>Of The Securities Industry and Financial Markets Association</w:t>
      </w:r>
    </w:p>
    <w:p w:rsidR="00360CCE" w:rsidRDefault="00444861" w:rsidP="00360CCE">
      <w:r>
        <w:t>February</w:t>
      </w:r>
      <w:r w:rsidR="00360CCE">
        <w:t xml:space="preserve"> </w:t>
      </w:r>
      <w:r>
        <w:t>2</w:t>
      </w:r>
      <w:r w:rsidR="00360CCE">
        <w:t>, 201</w:t>
      </w:r>
      <w:r>
        <w:t>6</w:t>
      </w:r>
    </w:p>
    <w:p w:rsidR="00360CCE" w:rsidRDefault="00360CCE" w:rsidP="00360CCE"/>
    <w:p w:rsidR="00360CCE" w:rsidRDefault="00360CCE" w:rsidP="00360CCE"/>
    <w:p w:rsidR="00360CCE" w:rsidRDefault="00360CCE" w:rsidP="00360CCE"/>
    <w:p w:rsidR="00360CCE" w:rsidRDefault="00360CCE" w:rsidP="00360CCE"/>
    <w:p w:rsidR="00360CCE" w:rsidRDefault="00360CCE" w:rsidP="00360CCE"/>
    <w:p w:rsidR="00360CCE" w:rsidRDefault="00360CCE" w:rsidP="00360CCE"/>
    <w:p w:rsidR="00D06FDF" w:rsidRDefault="00D06FDF">
      <w:pPr>
        <w:rPr>
          <w:b/>
          <w:bCs/>
        </w:rPr>
      </w:pPr>
      <w:r>
        <w:rPr>
          <w:b/>
          <w:bCs/>
        </w:rPr>
        <w:br w:type="page"/>
      </w:r>
    </w:p>
    <w:p w:rsidR="00F055CA" w:rsidRPr="004E7257" w:rsidRDefault="00F055CA" w:rsidP="00F055CA">
      <w:pPr>
        <w:jc w:val="center"/>
        <w:rPr>
          <w:rFonts w:cs="Times New Roman"/>
          <w:b/>
          <w:szCs w:val="24"/>
        </w:rPr>
      </w:pPr>
      <w:r w:rsidRPr="004E7257">
        <w:rPr>
          <w:rFonts w:cs="Times New Roman"/>
          <w:b/>
          <w:szCs w:val="24"/>
        </w:rPr>
        <w:lastRenderedPageBreak/>
        <w:t>Treasury Borrowing Advisory Committee Quarterly Meeting</w:t>
      </w:r>
    </w:p>
    <w:p w:rsidR="00F055CA" w:rsidRPr="004E7257" w:rsidRDefault="00F055CA" w:rsidP="00F055CA">
      <w:pPr>
        <w:jc w:val="center"/>
        <w:rPr>
          <w:rFonts w:cs="Times New Roman"/>
          <w:b/>
          <w:szCs w:val="24"/>
        </w:rPr>
      </w:pPr>
      <w:r w:rsidRPr="004E7257">
        <w:rPr>
          <w:rFonts w:cs="Times New Roman"/>
          <w:b/>
          <w:szCs w:val="24"/>
        </w:rPr>
        <w:t>Committee Charge – February 2, 2016</w:t>
      </w:r>
    </w:p>
    <w:p w:rsidR="00F055CA" w:rsidRPr="004E7257" w:rsidRDefault="00F055CA" w:rsidP="00F055CA">
      <w:pPr>
        <w:jc w:val="center"/>
        <w:rPr>
          <w:rFonts w:cs="Times New Roman"/>
          <w:b/>
          <w:szCs w:val="24"/>
        </w:rPr>
      </w:pPr>
    </w:p>
    <w:p w:rsidR="00F055CA" w:rsidRPr="004E7257" w:rsidRDefault="00F055CA" w:rsidP="00F055CA">
      <w:pPr>
        <w:autoSpaceDE w:val="0"/>
        <w:autoSpaceDN w:val="0"/>
        <w:adjustRightInd w:val="0"/>
        <w:jc w:val="both"/>
        <w:rPr>
          <w:rFonts w:cs="Times New Roman"/>
          <w:szCs w:val="24"/>
          <w:u w:val="single"/>
        </w:rPr>
      </w:pPr>
      <w:r w:rsidRPr="004E7257">
        <w:rPr>
          <w:rFonts w:cs="Times New Roman"/>
          <w:szCs w:val="24"/>
          <w:u w:val="single"/>
        </w:rPr>
        <w:t>Fiscal Outlook</w:t>
      </w:r>
    </w:p>
    <w:p w:rsidR="00F055CA" w:rsidRPr="004E7257" w:rsidRDefault="00F055CA" w:rsidP="00F055CA">
      <w:pPr>
        <w:autoSpaceDE w:val="0"/>
        <w:autoSpaceDN w:val="0"/>
        <w:adjustRightInd w:val="0"/>
        <w:jc w:val="both"/>
        <w:rPr>
          <w:rFonts w:cs="Times New Roman"/>
          <w:szCs w:val="24"/>
          <w:u w:val="single"/>
        </w:rPr>
      </w:pPr>
    </w:p>
    <w:p w:rsidR="00F055CA" w:rsidRPr="004E7257" w:rsidRDefault="00F055CA" w:rsidP="00F055CA">
      <w:pPr>
        <w:pStyle w:val="Default"/>
        <w:rPr>
          <w:rFonts w:ascii="Times New Roman" w:hAnsi="Times New Roman" w:cs="Times New Roman"/>
        </w:rPr>
      </w:pPr>
      <w:r w:rsidRPr="004E7257">
        <w:rPr>
          <w:rFonts w:ascii="Times New Roman" w:hAnsi="Times New Roman" w:cs="Times New Roman"/>
          <w:color w:val="auto"/>
        </w:rPr>
        <w:t xml:space="preserve">Taking into consideration Treasury’s short, intermediate, and long-term financing requirements, as well as uncertainties about the economy and revenue outlook for the next few quarters, what changes to Treasury’s coupon auctions do you recommend at this time, if any? </w:t>
      </w:r>
      <w:r w:rsidRPr="004E7257">
        <w:rPr>
          <w:rFonts w:ascii="Times New Roman" w:hAnsi="Times New Roman" w:cs="Times New Roman"/>
        </w:rPr>
        <w:t xml:space="preserve">   </w:t>
      </w:r>
    </w:p>
    <w:p w:rsidR="00F055CA" w:rsidRPr="004E7257" w:rsidRDefault="00F055CA" w:rsidP="00F055CA">
      <w:pPr>
        <w:rPr>
          <w:rFonts w:cs="Times New Roman"/>
          <w:szCs w:val="24"/>
          <w:u w:val="single"/>
        </w:rPr>
      </w:pPr>
    </w:p>
    <w:p w:rsidR="00F055CA" w:rsidRPr="004E7257" w:rsidRDefault="00F055CA" w:rsidP="00F055CA">
      <w:pPr>
        <w:rPr>
          <w:rFonts w:cs="Times New Roman"/>
          <w:bCs/>
          <w:szCs w:val="24"/>
          <w:u w:val="single"/>
        </w:rPr>
      </w:pPr>
      <w:r w:rsidRPr="004E7257">
        <w:rPr>
          <w:rFonts w:cs="Times New Roman"/>
          <w:bCs/>
          <w:szCs w:val="24"/>
          <w:u w:val="single"/>
        </w:rPr>
        <w:t>Path to Increased Bill Issuance</w:t>
      </w:r>
    </w:p>
    <w:p w:rsidR="00F055CA" w:rsidRPr="004E7257" w:rsidRDefault="00F055CA" w:rsidP="00F055CA">
      <w:pPr>
        <w:rPr>
          <w:rFonts w:cs="Times New Roman"/>
          <w:szCs w:val="24"/>
        </w:rPr>
      </w:pPr>
    </w:p>
    <w:p w:rsidR="00F055CA" w:rsidRPr="004E7257" w:rsidRDefault="00F055CA" w:rsidP="00F055CA">
      <w:pPr>
        <w:rPr>
          <w:rFonts w:cs="Times New Roman"/>
          <w:szCs w:val="24"/>
        </w:rPr>
      </w:pPr>
      <w:r w:rsidRPr="004E7257">
        <w:rPr>
          <w:rFonts w:cs="Times New Roman"/>
          <w:szCs w:val="24"/>
        </w:rPr>
        <w:t xml:space="preserve">At the November 2015 Quarterly Refunding, and consistent with a recommendation by the Committee, Treasury reaffirmed its commitment to substantially increase Treasury bill issuance.  Because of declining deficits, Treasury’s borrowing needs have declined over the last several years.  Thus, in order to increase Treasury bill issuance meaningfully, Treasury will likely need to reduce some nominal coupon or TIPS issuance over the next year or two.  </w:t>
      </w:r>
    </w:p>
    <w:p w:rsidR="00F055CA" w:rsidRPr="004E7257" w:rsidRDefault="00F055CA" w:rsidP="00F055CA">
      <w:pPr>
        <w:ind w:firstLine="720"/>
        <w:rPr>
          <w:rFonts w:cs="Times New Roman"/>
          <w:szCs w:val="24"/>
        </w:rPr>
      </w:pPr>
    </w:p>
    <w:p w:rsidR="00F055CA" w:rsidRPr="004E7257" w:rsidRDefault="00F055CA" w:rsidP="00F055CA">
      <w:pPr>
        <w:rPr>
          <w:rFonts w:cs="Times New Roman"/>
          <w:szCs w:val="24"/>
        </w:rPr>
      </w:pPr>
      <w:r w:rsidRPr="004E7257">
        <w:rPr>
          <w:rFonts w:cs="Times New Roman"/>
          <w:szCs w:val="24"/>
        </w:rPr>
        <w:t xml:space="preserve">We would like the Committee to discuss the appropriate size of an increase in bill issuance needed over the next couple of years.  If a reduction in nominal coupon and TIPS issuance would be required, discuss how Treasury should evaluate issuance across these securities.  What criteria should be considered and how should they be weighed against each other?       </w:t>
      </w:r>
    </w:p>
    <w:p w:rsidR="00F055CA" w:rsidRPr="004E7257" w:rsidRDefault="00F055CA" w:rsidP="00F055CA">
      <w:pPr>
        <w:rPr>
          <w:rFonts w:cs="Times New Roman"/>
          <w:szCs w:val="24"/>
          <w:u w:val="single"/>
        </w:rPr>
      </w:pPr>
    </w:p>
    <w:p w:rsidR="00F055CA" w:rsidRPr="004E7257" w:rsidRDefault="00F055CA" w:rsidP="00F055CA">
      <w:pPr>
        <w:rPr>
          <w:rFonts w:cs="Times New Roman"/>
          <w:bCs/>
          <w:szCs w:val="24"/>
          <w:u w:val="single"/>
        </w:rPr>
      </w:pPr>
      <w:r w:rsidRPr="004E7257">
        <w:rPr>
          <w:rFonts w:cs="Times New Roman"/>
          <w:bCs/>
          <w:szCs w:val="24"/>
          <w:u w:val="single"/>
        </w:rPr>
        <w:t xml:space="preserve">Treasury Market Data Transparency </w:t>
      </w:r>
    </w:p>
    <w:p w:rsidR="00F055CA" w:rsidRPr="004E7257" w:rsidRDefault="00F055CA" w:rsidP="00F055CA">
      <w:pPr>
        <w:rPr>
          <w:rFonts w:cs="Times New Roman"/>
          <w:bCs/>
          <w:szCs w:val="24"/>
          <w:u w:val="single"/>
        </w:rPr>
      </w:pPr>
    </w:p>
    <w:p w:rsidR="00F055CA" w:rsidRPr="004E7257" w:rsidRDefault="00F055CA" w:rsidP="00F055CA">
      <w:pPr>
        <w:rPr>
          <w:rFonts w:cs="Times New Roman"/>
          <w:szCs w:val="24"/>
        </w:rPr>
      </w:pPr>
      <w:r w:rsidRPr="004E7257">
        <w:rPr>
          <w:rFonts w:cs="Times New Roman"/>
          <w:szCs w:val="24"/>
        </w:rPr>
        <w:t>The extent of publicly available data on transactions in U.S. Treasury markets is substantially less than what is available for other major asset classes. For example, cash Treasury securities do not have any public transaction or order book reporting.</w:t>
      </w:r>
    </w:p>
    <w:p w:rsidR="00F055CA" w:rsidRPr="004E7257" w:rsidRDefault="00F055CA" w:rsidP="00F055CA">
      <w:pPr>
        <w:rPr>
          <w:rFonts w:cs="Times New Roman"/>
          <w:szCs w:val="24"/>
        </w:rPr>
      </w:pPr>
    </w:p>
    <w:p w:rsidR="00F055CA" w:rsidRPr="004E7257" w:rsidRDefault="00F055CA" w:rsidP="00F055CA">
      <w:pPr>
        <w:rPr>
          <w:rFonts w:cs="Times New Roman"/>
          <w:szCs w:val="24"/>
        </w:rPr>
      </w:pPr>
      <w:r w:rsidRPr="004E7257">
        <w:rPr>
          <w:rFonts w:cs="Times New Roman"/>
          <w:szCs w:val="24"/>
        </w:rPr>
        <w:t>We would like the Committee to comment the appropriate level and form of data that should be made available to the public, including that related to market prices, trading volumes, market participant inventories, and trends in market risk and liquidity.</w:t>
      </w:r>
    </w:p>
    <w:p w:rsidR="00F055CA" w:rsidRPr="004E7257" w:rsidRDefault="00F055CA" w:rsidP="00F055CA">
      <w:pPr>
        <w:rPr>
          <w:rFonts w:cs="Times New Roman"/>
          <w:szCs w:val="24"/>
        </w:rPr>
      </w:pPr>
    </w:p>
    <w:p w:rsidR="00F055CA" w:rsidRPr="004E7257" w:rsidRDefault="00F055CA" w:rsidP="00F055CA">
      <w:pPr>
        <w:jc w:val="both"/>
        <w:outlineLvl w:val="0"/>
        <w:rPr>
          <w:rFonts w:cs="Times New Roman"/>
        </w:rPr>
      </w:pPr>
      <w:r w:rsidRPr="004E7257">
        <w:rPr>
          <w:rFonts w:cs="Times New Roman"/>
          <w:u w:val="single"/>
        </w:rPr>
        <w:t>Financing this Quarter</w:t>
      </w:r>
      <w:r w:rsidRPr="004E7257">
        <w:rPr>
          <w:rFonts w:cs="Times New Roman"/>
        </w:rPr>
        <w:t xml:space="preserve"> </w:t>
      </w:r>
    </w:p>
    <w:p w:rsidR="00F055CA" w:rsidRPr="004E7257" w:rsidRDefault="00F055CA" w:rsidP="00F055CA">
      <w:pPr>
        <w:outlineLvl w:val="0"/>
        <w:rPr>
          <w:rFonts w:cs="Times New Roman"/>
        </w:rPr>
      </w:pPr>
    </w:p>
    <w:p w:rsidR="00F055CA" w:rsidRPr="004E7257" w:rsidRDefault="00F055CA" w:rsidP="00F055CA">
      <w:pPr>
        <w:rPr>
          <w:rFonts w:cs="Times New Roman"/>
        </w:rPr>
      </w:pPr>
      <w:r w:rsidRPr="004E7257">
        <w:rPr>
          <w:rFonts w:cs="Times New Roman"/>
        </w:rPr>
        <w:t>We would like the Committee’s advice on the following:</w:t>
      </w:r>
    </w:p>
    <w:p w:rsidR="00F055CA" w:rsidRPr="004E7257" w:rsidRDefault="00F055CA" w:rsidP="00F055CA">
      <w:pPr>
        <w:rPr>
          <w:rFonts w:cs="Times New Roman"/>
        </w:rPr>
      </w:pPr>
    </w:p>
    <w:p w:rsidR="00F055CA" w:rsidRPr="004E7257" w:rsidRDefault="00F055CA" w:rsidP="00F055CA">
      <w:pPr>
        <w:numPr>
          <w:ilvl w:val="0"/>
          <w:numId w:val="9"/>
        </w:numPr>
        <w:rPr>
          <w:rFonts w:cs="Times New Roman"/>
        </w:rPr>
      </w:pPr>
      <w:r w:rsidRPr="004E7257">
        <w:rPr>
          <w:rFonts w:cs="Times New Roman"/>
        </w:rPr>
        <w:t>The composition of Treasury notes and bonds to refund approximately $54.4 billion of privately-held notes maturing on February 15, 2016.</w:t>
      </w:r>
    </w:p>
    <w:p w:rsidR="00F055CA" w:rsidRPr="004E7257" w:rsidRDefault="00F055CA" w:rsidP="00F055CA">
      <w:pPr>
        <w:numPr>
          <w:ilvl w:val="0"/>
          <w:numId w:val="9"/>
        </w:numPr>
        <w:rPr>
          <w:rFonts w:cs="Times New Roman"/>
        </w:rPr>
      </w:pPr>
      <w:r w:rsidRPr="004E7257">
        <w:rPr>
          <w:rFonts w:cs="Times New Roman"/>
        </w:rPr>
        <w:t>The composition of Treasury marketable financing for the remainder of the January-March 2016 quarter, including cash management bills.</w:t>
      </w:r>
    </w:p>
    <w:p w:rsidR="00F055CA" w:rsidRPr="004E7257" w:rsidRDefault="00F055CA" w:rsidP="00F055CA">
      <w:pPr>
        <w:numPr>
          <w:ilvl w:val="0"/>
          <w:numId w:val="9"/>
        </w:numPr>
        <w:rPr>
          <w:rFonts w:cs="Times New Roman"/>
        </w:rPr>
      </w:pPr>
      <w:r w:rsidRPr="004E7257">
        <w:rPr>
          <w:rFonts w:cs="Times New Roman"/>
        </w:rPr>
        <w:t>The composition of Treasury marketable financing for the April – June 2016 quarter, including cash management bills.</w:t>
      </w:r>
    </w:p>
    <w:p w:rsidR="00F055CA" w:rsidRPr="004E7257" w:rsidRDefault="00F055CA" w:rsidP="00F055CA">
      <w:pPr>
        <w:rPr>
          <w:rFonts w:cs="Times New Roman"/>
        </w:rPr>
      </w:pPr>
    </w:p>
    <w:p w:rsidR="00360CCE" w:rsidRPr="004E7257" w:rsidRDefault="00360CCE" w:rsidP="005D5F05">
      <w:pPr>
        <w:rPr>
          <w:rFonts w:cs="Times New Roman"/>
          <w:i/>
        </w:rPr>
      </w:pPr>
    </w:p>
    <w:sectPr w:rsidR="00360CCE" w:rsidRPr="004E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569B4"/>
    <w:multiLevelType w:val="hybridMultilevel"/>
    <w:tmpl w:val="75E47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065962"/>
    <w:multiLevelType w:val="hybridMultilevel"/>
    <w:tmpl w:val="DC8E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A086E"/>
    <w:multiLevelType w:val="hybridMultilevel"/>
    <w:tmpl w:val="3A2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4C46"/>
    <w:multiLevelType w:val="hybridMultilevel"/>
    <w:tmpl w:val="E1C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A6F05"/>
    <w:multiLevelType w:val="hybridMultilevel"/>
    <w:tmpl w:val="D038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F2C4F"/>
    <w:multiLevelType w:val="hybridMultilevel"/>
    <w:tmpl w:val="2264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90C88"/>
    <w:multiLevelType w:val="hybridMultilevel"/>
    <w:tmpl w:val="E2F6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D74A0"/>
    <w:multiLevelType w:val="hybridMultilevel"/>
    <w:tmpl w:val="091A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D2203"/>
    <w:multiLevelType w:val="hybridMultilevel"/>
    <w:tmpl w:val="DC7639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42033"/>
    <w:rsid w:val="00050F07"/>
    <w:rsid w:val="00055CA7"/>
    <w:rsid w:val="00056BBF"/>
    <w:rsid w:val="00075786"/>
    <w:rsid w:val="00095C84"/>
    <w:rsid w:val="00096E28"/>
    <w:rsid w:val="000B009F"/>
    <w:rsid w:val="000B1EC9"/>
    <w:rsid w:val="000C308F"/>
    <w:rsid w:val="000D5C1B"/>
    <w:rsid w:val="00102E71"/>
    <w:rsid w:val="001074FF"/>
    <w:rsid w:val="00113109"/>
    <w:rsid w:val="001150C3"/>
    <w:rsid w:val="00141ECB"/>
    <w:rsid w:val="00190111"/>
    <w:rsid w:val="0019151D"/>
    <w:rsid w:val="00191BED"/>
    <w:rsid w:val="001A0646"/>
    <w:rsid w:val="001C0092"/>
    <w:rsid w:val="001D7A9F"/>
    <w:rsid w:val="00202291"/>
    <w:rsid w:val="00210FC2"/>
    <w:rsid w:val="00212394"/>
    <w:rsid w:val="00213754"/>
    <w:rsid w:val="00221219"/>
    <w:rsid w:val="0024306F"/>
    <w:rsid w:val="002507FD"/>
    <w:rsid w:val="00264831"/>
    <w:rsid w:val="00277992"/>
    <w:rsid w:val="002A0AB5"/>
    <w:rsid w:val="002A179F"/>
    <w:rsid w:val="002A37CC"/>
    <w:rsid w:val="002A41F7"/>
    <w:rsid w:val="002D74FF"/>
    <w:rsid w:val="002E6437"/>
    <w:rsid w:val="00300B77"/>
    <w:rsid w:val="00305A4B"/>
    <w:rsid w:val="00312A97"/>
    <w:rsid w:val="00333249"/>
    <w:rsid w:val="00344CA0"/>
    <w:rsid w:val="00360CCE"/>
    <w:rsid w:val="00364C9E"/>
    <w:rsid w:val="00365536"/>
    <w:rsid w:val="00371D9B"/>
    <w:rsid w:val="003844D6"/>
    <w:rsid w:val="00397B71"/>
    <w:rsid w:val="003A0DD7"/>
    <w:rsid w:val="003A2F10"/>
    <w:rsid w:val="003A4F24"/>
    <w:rsid w:val="003B22D4"/>
    <w:rsid w:val="003C048D"/>
    <w:rsid w:val="003C44C1"/>
    <w:rsid w:val="003D313F"/>
    <w:rsid w:val="003E33D3"/>
    <w:rsid w:val="00403E70"/>
    <w:rsid w:val="0042345A"/>
    <w:rsid w:val="00435FEC"/>
    <w:rsid w:val="00444861"/>
    <w:rsid w:val="004520E4"/>
    <w:rsid w:val="00456E1E"/>
    <w:rsid w:val="004678C9"/>
    <w:rsid w:val="0048203A"/>
    <w:rsid w:val="004E06C9"/>
    <w:rsid w:val="004E7257"/>
    <w:rsid w:val="00513D3F"/>
    <w:rsid w:val="00536A93"/>
    <w:rsid w:val="00560072"/>
    <w:rsid w:val="00565119"/>
    <w:rsid w:val="00585F60"/>
    <w:rsid w:val="005B7EC6"/>
    <w:rsid w:val="005D424B"/>
    <w:rsid w:val="005D5F05"/>
    <w:rsid w:val="005E21A5"/>
    <w:rsid w:val="0062727E"/>
    <w:rsid w:val="006520E7"/>
    <w:rsid w:val="00677F0E"/>
    <w:rsid w:val="006B3091"/>
    <w:rsid w:val="006B408C"/>
    <w:rsid w:val="006E090E"/>
    <w:rsid w:val="00700A21"/>
    <w:rsid w:val="007012A4"/>
    <w:rsid w:val="007113AD"/>
    <w:rsid w:val="00713A00"/>
    <w:rsid w:val="00733F7A"/>
    <w:rsid w:val="007625E9"/>
    <w:rsid w:val="0078389E"/>
    <w:rsid w:val="007A5A43"/>
    <w:rsid w:val="007B3CC6"/>
    <w:rsid w:val="007B4303"/>
    <w:rsid w:val="007B7A7A"/>
    <w:rsid w:val="007C6C26"/>
    <w:rsid w:val="007C6C2B"/>
    <w:rsid w:val="007E002C"/>
    <w:rsid w:val="007F4ECF"/>
    <w:rsid w:val="00825F97"/>
    <w:rsid w:val="00836B20"/>
    <w:rsid w:val="00837F06"/>
    <w:rsid w:val="0084295F"/>
    <w:rsid w:val="008500A5"/>
    <w:rsid w:val="008500F6"/>
    <w:rsid w:val="008A009F"/>
    <w:rsid w:val="008B029F"/>
    <w:rsid w:val="008F4DC3"/>
    <w:rsid w:val="00903289"/>
    <w:rsid w:val="009150BA"/>
    <w:rsid w:val="00927C92"/>
    <w:rsid w:val="00947E2A"/>
    <w:rsid w:val="00953950"/>
    <w:rsid w:val="0096209E"/>
    <w:rsid w:val="0099314B"/>
    <w:rsid w:val="009964C6"/>
    <w:rsid w:val="009A188B"/>
    <w:rsid w:val="009A2D57"/>
    <w:rsid w:val="009B08E3"/>
    <w:rsid w:val="009C3131"/>
    <w:rsid w:val="009D0266"/>
    <w:rsid w:val="009D656E"/>
    <w:rsid w:val="009E24C0"/>
    <w:rsid w:val="00A10A67"/>
    <w:rsid w:val="00A33A2D"/>
    <w:rsid w:val="00A40D32"/>
    <w:rsid w:val="00A55771"/>
    <w:rsid w:val="00A55EB4"/>
    <w:rsid w:val="00A8447C"/>
    <w:rsid w:val="00AB1C7D"/>
    <w:rsid w:val="00AC7D44"/>
    <w:rsid w:val="00AF220F"/>
    <w:rsid w:val="00B10355"/>
    <w:rsid w:val="00B42515"/>
    <w:rsid w:val="00B4654E"/>
    <w:rsid w:val="00B603DF"/>
    <w:rsid w:val="00B64F72"/>
    <w:rsid w:val="00B83F56"/>
    <w:rsid w:val="00B91C41"/>
    <w:rsid w:val="00B95C3D"/>
    <w:rsid w:val="00B97C20"/>
    <w:rsid w:val="00BC1659"/>
    <w:rsid w:val="00BC7DC8"/>
    <w:rsid w:val="00BD2B97"/>
    <w:rsid w:val="00C05789"/>
    <w:rsid w:val="00C333A4"/>
    <w:rsid w:val="00C56F5F"/>
    <w:rsid w:val="00C84289"/>
    <w:rsid w:val="00CA0B57"/>
    <w:rsid w:val="00CB2727"/>
    <w:rsid w:val="00CF4FD5"/>
    <w:rsid w:val="00CF77E7"/>
    <w:rsid w:val="00D01E99"/>
    <w:rsid w:val="00D06FDF"/>
    <w:rsid w:val="00D20D2B"/>
    <w:rsid w:val="00D401CD"/>
    <w:rsid w:val="00D6580F"/>
    <w:rsid w:val="00D812D1"/>
    <w:rsid w:val="00DB546A"/>
    <w:rsid w:val="00DC0BED"/>
    <w:rsid w:val="00DC3C46"/>
    <w:rsid w:val="00DC6083"/>
    <w:rsid w:val="00DD2023"/>
    <w:rsid w:val="00DD7505"/>
    <w:rsid w:val="00E2074D"/>
    <w:rsid w:val="00E378C3"/>
    <w:rsid w:val="00E4123D"/>
    <w:rsid w:val="00E4281C"/>
    <w:rsid w:val="00E51C75"/>
    <w:rsid w:val="00E708E4"/>
    <w:rsid w:val="00EB681F"/>
    <w:rsid w:val="00ED1D1A"/>
    <w:rsid w:val="00ED4D42"/>
    <w:rsid w:val="00F0112F"/>
    <w:rsid w:val="00F055CA"/>
    <w:rsid w:val="00F17220"/>
    <w:rsid w:val="00F31039"/>
    <w:rsid w:val="00F50A6A"/>
    <w:rsid w:val="00F643CE"/>
    <w:rsid w:val="00F6785C"/>
    <w:rsid w:val="00F75C15"/>
    <w:rsid w:val="00F77287"/>
    <w:rsid w:val="00F82049"/>
    <w:rsid w:val="00F920E6"/>
    <w:rsid w:val="00FA2BCF"/>
    <w:rsid w:val="00FA3B68"/>
    <w:rsid w:val="00FE5BCB"/>
    <w:rsid w:val="00FE6377"/>
    <w:rsid w:val="00FF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0CCE"/>
    <w:rPr>
      <w:rFonts w:ascii="Calibri" w:hAnsi="Calibri"/>
      <w:sz w:val="22"/>
      <w:szCs w:val="21"/>
    </w:rPr>
  </w:style>
  <w:style w:type="character" w:customStyle="1" w:styleId="PlainTextChar">
    <w:name w:val="Plain Text Char"/>
    <w:basedOn w:val="DefaultParagraphFont"/>
    <w:link w:val="PlainText"/>
    <w:uiPriority w:val="99"/>
    <w:rsid w:val="00360CCE"/>
    <w:rPr>
      <w:rFonts w:ascii="Calibri" w:hAnsi="Calibri"/>
      <w:sz w:val="22"/>
      <w:szCs w:val="21"/>
    </w:rPr>
  </w:style>
  <w:style w:type="paragraph" w:styleId="ListParagraph">
    <w:name w:val="List Paragraph"/>
    <w:basedOn w:val="Normal"/>
    <w:uiPriority w:val="34"/>
    <w:qFormat/>
    <w:rsid w:val="00D06FDF"/>
    <w:pPr>
      <w:ind w:left="720"/>
      <w:contextualSpacing/>
    </w:pPr>
  </w:style>
  <w:style w:type="paragraph" w:customStyle="1" w:styleId="Default">
    <w:name w:val="Default"/>
    <w:rsid w:val="00BD2B97"/>
    <w:pPr>
      <w:autoSpaceDE w:val="0"/>
      <w:autoSpaceDN w:val="0"/>
      <w:adjustRightInd w:val="0"/>
    </w:pPr>
    <w:rPr>
      <w:rFonts w:ascii="Book Antiqua" w:hAnsi="Book Antiqua" w:cs="Book Antiqua"/>
      <w:color w:val="000000"/>
      <w:szCs w:val="24"/>
    </w:rPr>
  </w:style>
  <w:style w:type="character" w:styleId="CommentReference">
    <w:name w:val="annotation reference"/>
    <w:basedOn w:val="DefaultParagraphFont"/>
    <w:uiPriority w:val="99"/>
    <w:semiHidden/>
    <w:unhideWhenUsed/>
    <w:rsid w:val="000B009F"/>
    <w:rPr>
      <w:sz w:val="16"/>
      <w:szCs w:val="16"/>
    </w:rPr>
  </w:style>
  <w:style w:type="paragraph" w:styleId="CommentText">
    <w:name w:val="annotation text"/>
    <w:basedOn w:val="Normal"/>
    <w:link w:val="CommentTextChar"/>
    <w:uiPriority w:val="99"/>
    <w:semiHidden/>
    <w:unhideWhenUsed/>
    <w:rsid w:val="000B009F"/>
    <w:rPr>
      <w:sz w:val="20"/>
      <w:szCs w:val="20"/>
    </w:rPr>
  </w:style>
  <w:style w:type="character" w:customStyle="1" w:styleId="CommentTextChar">
    <w:name w:val="Comment Text Char"/>
    <w:basedOn w:val="DefaultParagraphFont"/>
    <w:link w:val="CommentText"/>
    <w:uiPriority w:val="99"/>
    <w:semiHidden/>
    <w:rsid w:val="000B009F"/>
    <w:rPr>
      <w:sz w:val="20"/>
      <w:szCs w:val="20"/>
    </w:rPr>
  </w:style>
  <w:style w:type="paragraph" w:styleId="CommentSubject">
    <w:name w:val="annotation subject"/>
    <w:basedOn w:val="CommentText"/>
    <w:next w:val="CommentText"/>
    <w:link w:val="CommentSubjectChar"/>
    <w:uiPriority w:val="99"/>
    <w:semiHidden/>
    <w:unhideWhenUsed/>
    <w:rsid w:val="000B009F"/>
    <w:rPr>
      <w:b/>
      <w:bCs/>
    </w:rPr>
  </w:style>
  <w:style w:type="character" w:customStyle="1" w:styleId="CommentSubjectChar">
    <w:name w:val="Comment Subject Char"/>
    <w:basedOn w:val="CommentTextChar"/>
    <w:link w:val="CommentSubject"/>
    <w:uiPriority w:val="99"/>
    <w:semiHidden/>
    <w:rsid w:val="000B009F"/>
    <w:rPr>
      <w:b/>
      <w:bCs/>
      <w:sz w:val="20"/>
      <w:szCs w:val="20"/>
    </w:rPr>
  </w:style>
  <w:style w:type="paragraph" w:styleId="BalloonText">
    <w:name w:val="Balloon Text"/>
    <w:basedOn w:val="Normal"/>
    <w:link w:val="BalloonTextChar"/>
    <w:uiPriority w:val="99"/>
    <w:semiHidden/>
    <w:unhideWhenUsed/>
    <w:rsid w:val="000B009F"/>
    <w:rPr>
      <w:rFonts w:ascii="Tahoma" w:hAnsi="Tahoma" w:cs="Tahoma"/>
      <w:sz w:val="16"/>
      <w:szCs w:val="16"/>
    </w:rPr>
  </w:style>
  <w:style w:type="character" w:customStyle="1" w:styleId="BalloonTextChar">
    <w:name w:val="Balloon Text Char"/>
    <w:basedOn w:val="DefaultParagraphFont"/>
    <w:link w:val="BalloonText"/>
    <w:uiPriority w:val="99"/>
    <w:semiHidden/>
    <w:rsid w:val="000B0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0CCE"/>
    <w:rPr>
      <w:rFonts w:ascii="Calibri" w:hAnsi="Calibri"/>
      <w:sz w:val="22"/>
      <w:szCs w:val="21"/>
    </w:rPr>
  </w:style>
  <w:style w:type="character" w:customStyle="1" w:styleId="PlainTextChar">
    <w:name w:val="Plain Text Char"/>
    <w:basedOn w:val="DefaultParagraphFont"/>
    <w:link w:val="PlainText"/>
    <w:uiPriority w:val="99"/>
    <w:rsid w:val="00360CCE"/>
    <w:rPr>
      <w:rFonts w:ascii="Calibri" w:hAnsi="Calibri"/>
      <w:sz w:val="22"/>
      <w:szCs w:val="21"/>
    </w:rPr>
  </w:style>
  <w:style w:type="paragraph" w:styleId="ListParagraph">
    <w:name w:val="List Paragraph"/>
    <w:basedOn w:val="Normal"/>
    <w:uiPriority w:val="34"/>
    <w:qFormat/>
    <w:rsid w:val="00D06FDF"/>
    <w:pPr>
      <w:ind w:left="720"/>
      <w:contextualSpacing/>
    </w:pPr>
  </w:style>
  <w:style w:type="paragraph" w:customStyle="1" w:styleId="Default">
    <w:name w:val="Default"/>
    <w:rsid w:val="00BD2B97"/>
    <w:pPr>
      <w:autoSpaceDE w:val="0"/>
      <w:autoSpaceDN w:val="0"/>
      <w:adjustRightInd w:val="0"/>
    </w:pPr>
    <w:rPr>
      <w:rFonts w:ascii="Book Antiqua" w:hAnsi="Book Antiqua" w:cs="Book Antiqua"/>
      <w:color w:val="000000"/>
      <w:szCs w:val="24"/>
    </w:rPr>
  </w:style>
  <w:style w:type="character" w:styleId="CommentReference">
    <w:name w:val="annotation reference"/>
    <w:basedOn w:val="DefaultParagraphFont"/>
    <w:uiPriority w:val="99"/>
    <w:semiHidden/>
    <w:unhideWhenUsed/>
    <w:rsid w:val="000B009F"/>
    <w:rPr>
      <w:sz w:val="16"/>
      <w:szCs w:val="16"/>
    </w:rPr>
  </w:style>
  <w:style w:type="paragraph" w:styleId="CommentText">
    <w:name w:val="annotation text"/>
    <w:basedOn w:val="Normal"/>
    <w:link w:val="CommentTextChar"/>
    <w:uiPriority w:val="99"/>
    <w:semiHidden/>
    <w:unhideWhenUsed/>
    <w:rsid w:val="000B009F"/>
    <w:rPr>
      <w:sz w:val="20"/>
      <w:szCs w:val="20"/>
    </w:rPr>
  </w:style>
  <w:style w:type="character" w:customStyle="1" w:styleId="CommentTextChar">
    <w:name w:val="Comment Text Char"/>
    <w:basedOn w:val="DefaultParagraphFont"/>
    <w:link w:val="CommentText"/>
    <w:uiPriority w:val="99"/>
    <w:semiHidden/>
    <w:rsid w:val="000B009F"/>
    <w:rPr>
      <w:sz w:val="20"/>
      <w:szCs w:val="20"/>
    </w:rPr>
  </w:style>
  <w:style w:type="paragraph" w:styleId="CommentSubject">
    <w:name w:val="annotation subject"/>
    <w:basedOn w:val="CommentText"/>
    <w:next w:val="CommentText"/>
    <w:link w:val="CommentSubjectChar"/>
    <w:uiPriority w:val="99"/>
    <w:semiHidden/>
    <w:unhideWhenUsed/>
    <w:rsid w:val="000B009F"/>
    <w:rPr>
      <w:b/>
      <w:bCs/>
    </w:rPr>
  </w:style>
  <w:style w:type="character" w:customStyle="1" w:styleId="CommentSubjectChar">
    <w:name w:val="Comment Subject Char"/>
    <w:basedOn w:val="CommentTextChar"/>
    <w:link w:val="CommentSubject"/>
    <w:uiPriority w:val="99"/>
    <w:semiHidden/>
    <w:rsid w:val="000B009F"/>
    <w:rPr>
      <w:b/>
      <w:bCs/>
      <w:sz w:val="20"/>
      <w:szCs w:val="20"/>
    </w:rPr>
  </w:style>
  <w:style w:type="paragraph" w:styleId="BalloonText">
    <w:name w:val="Balloon Text"/>
    <w:basedOn w:val="Normal"/>
    <w:link w:val="BalloonTextChar"/>
    <w:uiPriority w:val="99"/>
    <w:semiHidden/>
    <w:unhideWhenUsed/>
    <w:rsid w:val="000B009F"/>
    <w:rPr>
      <w:rFonts w:ascii="Tahoma" w:hAnsi="Tahoma" w:cs="Tahoma"/>
      <w:sz w:val="16"/>
      <w:szCs w:val="16"/>
    </w:rPr>
  </w:style>
  <w:style w:type="character" w:customStyle="1" w:styleId="BalloonTextChar">
    <w:name w:val="Balloon Text Char"/>
    <w:basedOn w:val="DefaultParagraphFont"/>
    <w:link w:val="BalloonText"/>
    <w:uiPriority w:val="99"/>
    <w:semiHidden/>
    <w:rsid w:val="000B0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FA4B3CF76CF246A7D942613FD9926F" ma:contentTypeVersion="25" ma:contentTypeDescription="Create a new document." ma:contentTypeScope="" ma:versionID="6c136cfb6a19f2a4aadfc915a4c2c92d">
  <xsd:schema xmlns:xsd="http://www.w3.org/2001/XMLSchema" xmlns:xs="http://www.w3.org/2001/XMLSchema" xmlns:p="http://schemas.microsoft.com/office/2006/metadata/properties" xmlns:ns1="http://schemas.microsoft.com/sharepoint/v3" xmlns:ns2="b83beb07-65a4-4507-95b1-c5a5a885c939" xmlns:ns3="8a41d4cc-3855-40f2-8932-454702d2b8da" targetNamespace="http://schemas.microsoft.com/office/2006/metadata/properties" ma:root="true" ma:fieldsID="b27caf567d4c3dc764695bb732aead3c" ns1:_="" ns2:_="" ns3:_="">
    <xsd:import namespace="http://schemas.microsoft.com/sharepoint/v3"/>
    <xsd:import namespace="b83beb07-65a4-4507-95b1-c5a5a885c939"/>
    <xsd:import namespace="8a41d4cc-3855-40f2-8932-454702d2b8da"/>
    <xsd:element name="properties">
      <xsd:complexType>
        <xsd:sequence>
          <xsd:element name="documentManagement">
            <xsd:complexType>
              <xsd:all>
                <xsd:element ref="ns1:PublishingStartDate" minOccurs="0"/>
                <xsd:element ref="ns1:PublishingExpirationDate" minOccurs="0"/>
                <xsd:element ref="ns2:SpreadsheetID" minOccurs="0"/>
                <xsd:element ref="ns3:TaxCatchAll" minOccurs="0"/>
                <xsd:element ref="ns2:MigrationSourceURL" minOccurs="0"/>
                <xsd:element ref="ns3:Geography_x0020_TagTaxHTField0" minOccurs="0"/>
                <xsd:element ref="ns3:Person_x0020_TagTaxHTField0" minOccurs="0"/>
                <xsd:element ref="ns3:Office_TagTaxHTField0" minOccurs="0"/>
                <xsd:element ref="ns3:Topic_x0020_TagTaxHTField0" minOccurs="0"/>
                <xsd:element ref="ns3:Year" minOccurs="0"/>
                <xsd:element ref="ns3:TaxCatchAllLabel" minOccurs="0"/>
                <xsd:element ref="ns1:ArticleStartDate" minOccurs="0"/>
                <xsd:element ref="ns3:AsOfDate" minOccurs="0"/>
                <xsd:element ref="ns3:ShowArticleDateInTitle" minOccurs="0"/>
                <xsd:element ref="ns3:TitleAlternate" minOccurs="0"/>
                <xsd:element ref="ns2:title0" minOccurs="0"/>
                <xsd:element ref="ns3:DisplayAsOfDate" minOccurs="0"/>
                <xsd:element ref="ns3:Resource_x0020_Type_x0020_Tag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ArticleStartDate" ma:index="23" nillable="true" ma:displayName="Article Dat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3beb07-65a4-4507-95b1-c5a5a885c939" elementFormDefault="qualified">
    <xsd:import namespace="http://schemas.microsoft.com/office/2006/documentManagement/types"/>
    <xsd:import namespace="http://schemas.microsoft.com/office/infopath/2007/PartnerControls"/>
    <xsd:element name="SpreadsheetID" ma:index="10" nillable="true" ma:displayName="SpreadsheetID" ma:internalName="SpreadsheetID">
      <xsd:simpleType>
        <xsd:restriction base="dms:Text"/>
      </xsd:simpleType>
    </xsd:element>
    <xsd:element name="MigrationSourceURL" ma:index="12" nillable="true" ma:displayName="MigrationSourceURL" ma:internalName="MigrationSourceURL">
      <xsd:simpleType>
        <xsd:restriction base="dms:Text"/>
      </xsd:simpleType>
    </xsd:element>
    <xsd:element name="title0" ma:index="29" nillable="true" ma:displayName="title" ma:internalName="title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1d4cc-3855-40f2-8932-454702d2b8da"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a3dcbf6-8af5-4da4-a131-3d9948cc19c5}" ma:internalName="TaxCatchAll" ma:showField="CatchAllData" ma:web="e822421c-4f7f-43b6-b1de-8323dfb8eeba">
      <xsd:complexType>
        <xsd:complexContent>
          <xsd:extension base="dms:MultiChoiceLookup">
            <xsd:sequence>
              <xsd:element name="Value" type="dms:Lookup" maxOccurs="unbounded" minOccurs="0" nillable="true"/>
            </xsd:sequence>
          </xsd:extension>
        </xsd:complexContent>
      </xsd:complexType>
    </xsd:element>
    <xsd:element name="Geography_x0020_TagTaxHTField0" ma:index="14" nillable="true" ma:taxonomy="true" ma:internalName="Geography_x0020_TagTaxHTField0" ma:taxonomyFieldName="Geography_x0020_Tag" ma:displayName="Geography Tag" ma:default="" ma:fieldId="{d5cbcc3c-b655-484b-8f42-55c2464ff64b}" ma:taxonomyMulti="true" ma:sspId="3b6f65c7-9254-47cf-a11b-b487bf06aacb" ma:termSetId="83bcd180-c452-47f9-b00f-b005c41ed84d" ma:anchorId="00000000-0000-0000-0000-000000000000" ma:open="false" ma:isKeyword="false">
      <xsd:complexType>
        <xsd:sequence>
          <xsd:element ref="pc:Terms" minOccurs="0" maxOccurs="1"/>
        </xsd:sequence>
      </xsd:complexType>
    </xsd:element>
    <xsd:element name="Person_x0020_TagTaxHTField0" ma:index="16" nillable="true" ma:taxonomy="true" ma:internalName="Person_x0020_TagTaxHTField0" ma:taxonomyFieldName="Person_x0020_Tag" ma:displayName="Person Tag" ma:default="" ma:fieldId="{b4ce1c31-4abb-43c9-96e0-39bec811dc17}" ma:taxonomyMulti="true" ma:sspId="3b6f65c7-9254-47cf-a11b-b487bf06aacb" ma:termSetId="cdff39ed-b744-472c-9350-89e049e4cefe" ma:anchorId="00000000-0000-0000-0000-000000000000" ma:open="false" ma:isKeyword="false">
      <xsd:complexType>
        <xsd:sequence>
          <xsd:element ref="pc:Terms" minOccurs="0" maxOccurs="1"/>
        </xsd:sequence>
      </xsd:complexType>
    </xsd:element>
    <xsd:element name="Office_TagTaxHTField0" ma:index="18" nillable="true" ma:taxonomy="true" ma:internalName="Office_TagTaxHTField0" ma:taxonomyFieldName="Office_Tag" ma:displayName="Office Tag" ma:default="" ma:fieldId="{551c2805-25f1-4a7f-9cdd-3e9d9831a3d7}" ma:taxonomyMulti="true" ma:sspId="3b6f65c7-9254-47cf-a11b-b487bf06aacb" ma:termSetId="6aee186f-2112-4c7c-ae1b-5d1be70ba56e" ma:anchorId="00000000-0000-0000-0000-000000000000" ma:open="false" ma:isKeyword="false">
      <xsd:complexType>
        <xsd:sequence>
          <xsd:element ref="pc:Terms" minOccurs="0" maxOccurs="1"/>
        </xsd:sequence>
      </xsd:complexType>
    </xsd:element>
    <xsd:element name="Topic_x0020_TagTaxHTField0" ma:index="20" nillable="true" ma:taxonomy="true" ma:internalName="Topic_x0020_TagTaxHTField0" ma:taxonomyFieldName="Topic_x0020_Tag" ma:displayName="Topic Tag" ma:default="" ma:fieldId="{499a121d-66a6-42a2-88a2-426de769de9f}" ma:taxonomyMulti="true" ma:sspId="3b6f65c7-9254-47cf-a11b-b487bf06aacb" ma:termSetId="325701cb-c33c-4e87-a755-1418200e6750" ma:anchorId="00000000-0000-0000-0000-000000000000" ma:open="false" ma:isKeyword="false">
      <xsd:complexType>
        <xsd:sequence>
          <xsd:element ref="pc:Terms" minOccurs="0" maxOccurs="1"/>
        </xsd:sequence>
      </xsd:complexType>
    </xsd:element>
    <xsd:element name="Year" ma:index="21" nillable="true" ma:displayName="Year" ma:internalName="Year">
      <xsd:simpleType>
        <xsd:restriction base="dms:Text">
          <xsd:maxLength value="255"/>
        </xsd:restriction>
      </xsd:simpleType>
    </xsd:element>
    <xsd:element name="TaxCatchAllLabel" ma:index="22" nillable="true" ma:displayName="Taxonomy Catch All Column1" ma:hidden="true" ma:list="{1a3dcbf6-8af5-4da4-a131-3d9948cc19c5}" ma:internalName="TaxCatchAllLabel" ma:readOnly="true" ma:showField="CatchAllDataLabel" ma:web="e822421c-4f7f-43b6-b1de-8323dfb8eeba">
      <xsd:complexType>
        <xsd:complexContent>
          <xsd:extension base="dms:MultiChoiceLookup">
            <xsd:sequence>
              <xsd:element name="Value" type="dms:Lookup" maxOccurs="unbounded" minOccurs="0" nillable="true"/>
            </xsd:sequence>
          </xsd:extension>
        </xsd:complexContent>
      </xsd:complexType>
    </xsd:element>
    <xsd:element name="AsOfDate" ma:index="24" nillable="true" ma:displayName="AsOfDate" ma:format="DateOnly" ma:internalName="AsOfDate">
      <xsd:simpleType>
        <xsd:restriction base="dms:DateTime"/>
      </xsd:simpleType>
    </xsd:element>
    <xsd:element name="ShowArticleDateInTitle" ma:index="25" nillable="true" ma:displayName="ShowArticleDateInTitle" ma:default="0" ma:description="Indicate a preference to show the article date in the article title, where available." ma:internalName="ShowArticleDateInTitle">
      <xsd:simpleType>
        <xsd:restriction base="dms:Boolean"/>
      </xsd:simpleType>
    </xsd:element>
    <xsd:element name="TitleAlternate" ma:index="28" nillable="true" ma:displayName="TitleAlternate" ma:internalName="TitleAlternate">
      <xsd:simpleType>
        <xsd:restriction base="dms:Text">
          <xsd:maxLength value="255"/>
        </xsd:restriction>
      </xsd:simpleType>
    </xsd:element>
    <xsd:element name="DisplayAsOfDate" ma:index="30" nillable="true" ma:displayName="DisplayAsOfDate" ma:default="No" ma:format="RadioButtons" ma:internalName="DisplayAsOfDate">
      <xsd:simpleType>
        <xsd:restriction base="dms:Choice">
          <xsd:enumeration value="Yes"/>
          <xsd:enumeration value="No"/>
        </xsd:restriction>
      </xsd:simpleType>
    </xsd:element>
    <xsd:element name="Resource_x0020_Type_x0020_TagTaxHTField0" ma:index="31" nillable="true" ma:taxonomy="true" ma:internalName="Resource_x0020_Type_x0020_TagTaxHTField0" ma:taxonomyFieldName="Resource_x0020_Type_x0020_Tag" ma:displayName="Resource Type Tag" ma:default="" ma:fieldId="{5c7f90f2-daeb-4ea8-be7d-20853e227613}" ma:sspId="3b6f65c7-9254-47cf-a11b-b487bf06aacb" ma:termSetId="ccadf463-ebb3-4307-bd4a-cd78ea9c767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b83beb07-65a4-4507-95b1-c5a5a885c939" xsi:nil="true"/>
    <SpreadsheetID xmlns="b83beb07-65a4-4507-95b1-c5a5a885c939" xsi:nil="true"/>
    <Resource_x0020_Type_x0020_TagTaxHTField0 xmlns="8a41d4cc-3855-40f2-8932-454702d2b8da">
      <Terms xmlns="http://schemas.microsoft.com/office/infopath/2007/PartnerControls"/>
    </Resource_x0020_Type_x0020_TagTaxHTField0>
    <Person_x0020_TagTaxHTField0 xmlns="8a41d4cc-3855-40f2-8932-454702d2b8da">
      <Terms xmlns="http://schemas.microsoft.com/office/infopath/2007/PartnerControls"/>
    </Person_x0020_TagTaxHTField0>
    <DisplayAsOfDate xmlns="8a41d4cc-3855-40f2-8932-454702d2b8da">No</DisplayAsOfDate>
    <Geography_x0020_TagTaxHTField0 xmlns="8a41d4cc-3855-40f2-8932-454702d2b8da">
      <Terms xmlns="http://schemas.microsoft.com/office/infopath/2007/PartnerControls"/>
    </Geography_x0020_TagTaxHTField0>
    <Topic_x0020_TagTaxHTField0 xmlns="8a41d4cc-3855-40f2-8932-454702d2b8da">
      <Terms xmlns="http://schemas.microsoft.com/office/infopath/2007/PartnerControls"/>
    </Topic_x0020_TagTaxHTField0>
    <Office_TagTaxHTField0 xmlns="8a41d4cc-3855-40f2-8932-454702d2b8da">
      <Terms xmlns="http://schemas.microsoft.com/office/infopath/2007/PartnerControls"/>
    </Office_TagTaxHTField0>
    <ArticleStartDate xmlns="http://schemas.microsoft.com/sharepoint/v3" xsi:nil="true"/>
    <MigrationSourceURL xmlns="b83beb07-65a4-4507-95b1-c5a5a885c939" xsi:nil="true"/>
    <PublishingExpirationDate xmlns="http://schemas.microsoft.com/sharepoint/v3" xsi:nil="true"/>
    <TitleAlternate xmlns="8a41d4cc-3855-40f2-8932-454702d2b8da" xsi:nil="true"/>
    <PublishingStartDate xmlns="http://schemas.microsoft.com/sharepoint/v3" xsi:nil="true"/>
    <ShowArticleDateInTitle xmlns="8a41d4cc-3855-40f2-8932-454702d2b8da">false</ShowArticleDateInTitle>
    <TaxCatchAll xmlns="8a41d4cc-3855-40f2-8932-454702d2b8da"/>
    <AsOfDate xmlns="8a41d4cc-3855-40f2-8932-454702d2b8da" xsi:nil="true"/>
    <Year xmlns="8a41d4cc-3855-40f2-8932-454702d2b8da" xsi:nil="true"/>
  </documentManagement>
</p:properties>
</file>

<file path=customXml/itemProps1.xml><?xml version="1.0" encoding="utf-8"?>
<ds:datastoreItem xmlns:ds="http://schemas.openxmlformats.org/officeDocument/2006/customXml" ds:itemID="{3D233A01-98EA-4398-AE79-857AEDEB754D}"/>
</file>

<file path=customXml/itemProps2.xml><?xml version="1.0" encoding="utf-8"?>
<ds:datastoreItem xmlns:ds="http://schemas.openxmlformats.org/officeDocument/2006/customXml" ds:itemID="{D9902F83-E213-46EB-812A-9388E041443A}"/>
</file>

<file path=customXml/itemProps3.xml><?xml version="1.0" encoding="utf-8"?>
<ds:datastoreItem xmlns:ds="http://schemas.openxmlformats.org/officeDocument/2006/customXml" ds:itemID="{0BC0BB71-9099-4E3C-B8B8-1DA10D4EEBF9}"/>
</file>

<file path=customXml/itemProps4.xml><?xml version="1.0" encoding="utf-8"?>
<ds:datastoreItem xmlns:ds="http://schemas.openxmlformats.org/officeDocument/2006/customXml" ds:itemID="{C0411D96-CD0A-4A7E-B8C2-454CB84D99E3}"/>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2016 TBAC Minutes</dc:title>
  <dc:creator>Puglia, Michael</dc:creator>
  <cp:lastModifiedBy>U.S. Department of Treasury</cp:lastModifiedBy>
  <cp:revision>2</cp:revision>
  <cp:lastPrinted>2016-02-03T12:04:00Z</cp:lastPrinted>
  <dcterms:created xsi:type="dcterms:W3CDTF">2016-02-03T12:20:00Z</dcterms:created>
  <dcterms:modified xsi:type="dcterms:W3CDTF">2016-02-03T12:20:00Z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0x010100C7FA4B3CF76CF246A7D942613FD9926F</vt:lpwstr>
  </property>
  <property fmtid="{D5CDD505-2E9C-101B-9397-08002B2CF9AE}" pid="3" name="Topic Tag">
    <vt:lpwstr/>
  </property>
  <property fmtid="{D5CDD505-2E9C-101B-9397-08002B2CF9AE}" pid="4" name="Resource Type Tag">
    <vt:lpwstr/>
  </property>
  <property fmtid="{D5CDD505-2E9C-101B-9397-08002B2CF9AE}" pid="5" name="Office_Tag">
    <vt:lpwstr/>
  </property>
  <property fmtid="{D5CDD505-2E9C-101B-9397-08002B2CF9AE}" pid="6" name="Geography Tag">
    <vt:lpwstr/>
  </property>
  <property fmtid="{D5CDD505-2E9C-101B-9397-08002B2CF9AE}" pid="7" name="Person Tag">
    <vt:lpwstr/>
  </property>
  <property fmtid="{D5CDD505-2E9C-101B-9397-08002B2CF9AE}" pid="8" name="Order">
    <vt:r8>230200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